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A506E" w14:textId="5B91F451" w:rsidR="002778FE" w:rsidRPr="002A1FDB" w:rsidRDefault="00F9401A" w:rsidP="005C68BE">
      <w:pPr>
        <w:spacing w:after="120"/>
        <w:jc w:val="center"/>
        <w:outlineLvl w:val="0"/>
        <w:rPr>
          <w:b/>
          <w:color w:val="000000" w:themeColor="text1"/>
        </w:rPr>
      </w:pPr>
      <w:r>
        <w:rPr>
          <w:b/>
          <w:color w:val="000000" w:themeColor="text1"/>
        </w:rPr>
        <w:t xml:space="preserve"> </w:t>
      </w:r>
      <w:r w:rsidR="002539C6" w:rsidRPr="002A1FDB">
        <w:rPr>
          <w:b/>
          <w:color w:val="000000" w:themeColor="text1"/>
        </w:rPr>
        <w:t xml:space="preserve">Assurance and </w:t>
      </w:r>
      <w:r w:rsidR="00646C4E" w:rsidRPr="002A1FDB">
        <w:rPr>
          <w:b/>
          <w:color w:val="000000" w:themeColor="text1"/>
        </w:rPr>
        <w:t>Its A</w:t>
      </w:r>
      <w:r w:rsidR="002539C6" w:rsidRPr="002A1FDB">
        <w:rPr>
          <w:b/>
          <w:color w:val="000000" w:themeColor="text1"/>
        </w:rPr>
        <w:t>ftermath</w:t>
      </w:r>
      <w:r w:rsidR="00CF70F8" w:rsidRPr="002A1FDB">
        <w:rPr>
          <w:b/>
          <w:color w:val="000000" w:themeColor="text1"/>
        </w:rPr>
        <w:t>: The Reformation and Divine Determinism</w:t>
      </w:r>
    </w:p>
    <w:p w14:paraId="2E3BA916" w14:textId="6C63EB59" w:rsidR="0038283E" w:rsidRPr="002A1FDB" w:rsidRDefault="00B6361F" w:rsidP="005C68BE">
      <w:pPr>
        <w:spacing w:after="120"/>
        <w:rPr>
          <w:color w:val="000000" w:themeColor="text1"/>
        </w:rPr>
      </w:pPr>
      <w:r w:rsidRPr="002A1FDB">
        <w:rPr>
          <w:color w:val="000000" w:themeColor="text1"/>
        </w:rPr>
        <w:t>As generally described, the religious revolution of the 16</w:t>
      </w:r>
      <w:r w:rsidRPr="002A1FDB">
        <w:rPr>
          <w:color w:val="000000" w:themeColor="text1"/>
          <w:vertAlign w:val="superscript"/>
        </w:rPr>
        <w:t>th</w:t>
      </w:r>
      <w:r w:rsidRPr="002A1FDB">
        <w:rPr>
          <w:color w:val="000000" w:themeColor="text1"/>
        </w:rPr>
        <w:t xml:space="preserve"> century originated in a German monk’s disillusionment with medieval piety and his transforming discovery that salvation was entirely the gift of God.</w:t>
      </w:r>
      <w:r w:rsidR="00267105">
        <w:rPr>
          <w:rStyle w:val="FootnoteReference"/>
          <w:color w:val="000000" w:themeColor="text1"/>
        </w:rPr>
        <w:footnoteReference w:id="1"/>
      </w:r>
      <w:r w:rsidRPr="002A1FDB">
        <w:rPr>
          <w:color w:val="000000" w:themeColor="text1"/>
        </w:rPr>
        <w:t xml:space="preserve"> </w:t>
      </w:r>
      <w:r w:rsidR="007F1566" w:rsidRPr="002A1FDB">
        <w:rPr>
          <w:color w:val="000000" w:themeColor="text1"/>
        </w:rPr>
        <w:t xml:space="preserve">Exactly what led </w:t>
      </w:r>
      <w:r w:rsidR="00215DEE">
        <w:rPr>
          <w:color w:val="000000" w:themeColor="text1"/>
        </w:rPr>
        <w:t>Martin L</w:t>
      </w:r>
      <w:bookmarkStart w:id="0" w:name="_GoBack"/>
      <w:bookmarkEnd w:id="0"/>
      <w:r w:rsidR="00215DEE">
        <w:rPr>
          <w:color w:val="000000" w:themeColor="text1"/>
        </w:rPr>
        <w:t>uther</w:t>
      </w:r>
      <w:r w:rsidR="007F1566" w:rsidRPr="002A1FDB">
        <w:rPr>
          <w:color w:val="000000" w:themeColor="text1"/>
        </w:rPr>
        <w:t xml:space="preserve"> to enter an Augustinian monastery at the age of 21 is a matter of historical debate. But there is no question about his underlying motive. He became a monk for exactly the same reason as thousands of others</w:t>
      </w:r>
      <w:r w:rsidR="009D3235">
        <w:rPr>
          <w:color w:val="000000" w:themeColor="text1"/>
        </w:rPr>
        <w:t xml:space="preserve">—in order to save his soul. To </w:t>
      </w:r>
      <w:r w:rsidR="007F1566" w:rsidRPr="002A1FDB">
        <w:rPr>
          <w:color w:val="000000" w:themeColor="text1"/>
        </w:rPr>
        <w:t xml:space="preserve">the medieval </w:t>
      </w:r>
      <w:r w:rsidR="009D3235">
        <w:rPr>
          <w:color w:val="000000" w:themeColor="text1"/>
        </w:rPr>
        <w:t xml:space="preserve">Christian </w:t>
      </w:r>
      <w:r w:rsidR="007F1566" w:rsidRPr="002A1FDB">
        <w:rPr>
          <w:color w:val="000000" w:themeColor="text1"/>
        </w:rPr>
        <w:t>mind, a monastic life was the surest way of entering heaven.</w:t>
      </w:r>
      <w:r w:rsidR="007F1566" w:rsidRPr="002A1FDB">
        <w:rPr>
          <w:rStyle w:val="FootnoteReference"/>
          <w:color w:val="000000" w:themeColor="text1"/>
        </w:rPr>
        <w:footnoteReference w:id="2"/>
      </w:r>
      <w:r w:rsidR="007F1566" w:rsidRPr="002A1FDB">
        <w:rPr>
          <w:color w:val="000000" w:themeColor="text1"/>
        </w:rPr>
        <w:t xml:space="preserve"> </w:t>
      </w:r>
      <w:r w:rsidR="0038283E" w:rsidRPr="002A1FDB">
        <w:rPr>
          <w:color w:val="000000" w:themeColor="text1"/>
        </w:rPr>
        <w:t>Monasticism was not for spiritual weakling</w:t>
      </w:r>
      <w:r w:rsidR="0025567E" w:rsidRPr="002A1FDB">
        <w:rPr>
          <w:color w:val="000000" w:themeColor="text1"/>
        </w:rPr>
        <w:t>s</w:t>
      </w:r>
      <w:r w:rsidR="0038283E" w:rsidRPr="002A1FDB">
        <w:rPr>
          <w:color w:val="000000" w:themeColor="text1"/>
        </w:rPr>
        <w:t xml:space="preserve">. Those who entered took vows of poverty, chastity and obedience. They endured a skimpy diet, rough clothing, nightly vigils and daily labors, along with the all the limitations of cloistered living, shut off from the rest of the world in the quest for personal holiness. </w:t>
      </w:r>
    </w:p>
    <w:p w14:paraId="21B3ED22" w14:textId="58B63498" w:rsidR="00A7080A" w:rsidRPr="002A1FDB" w:rsidRDefault="0038283E" w:rsidP="005C68BE">
      <w:pPr>
        <w:spacing w:after="120"/>
        <w:rPr>
          <w:color w:val="000000" w:themeColor="text1"/>
        </w:rPr>
      </w:pPr>
      <w:r w:rsidRPr="002A1FDB">
        <w:rPr>
          <w:color w:val="000000" w:themeColor="text1"/>
        </w:rPr>
        <w:t xml:space="preserve">And </w:t>
      </w:r>
      <w:r w:rsidR="00215DEE">
        <w:rPr>
          <w:color w:val="000000" w:themeColor="text1"/>
        </w:rPr>
        <w:t>Luther</w:t>
      </w:r>
      <w:r w:rsidR="00215DEE" w:rsidRPr="002A1FDB">
        <w:rPr>
          <w:color w:val="000000" w:themeColor="text1"/>
        </w:rPr>
        <w:t xml:space="preserve"> </w:t>
      </w:r>
      <w:r w:rsidR="007F1566" w:rsidRPr="002A1FDB">
        <w:rPr>
          <w:color w:val="000000" w:themeColor="text1"/>
        </w:rPr>
        <w:t xml:space="preserve">pursued the monastic life with relentless determination. </w:t>
      </w:r>
      <w:r w:rsidRPr="002A1FDB">
        <w:rPr>
          <w:color w:val="000000" w:themeColor="text1"/>
        </w:rPr>
        <w:t xml:space="preserve">He was so hard on himself that further attempts to mortify the flesh might have ended his life. </w:t>
      </w:r>
      <w:r w:rsidR="002B44B9" w:rsidRPr="002A1FDB">
        <w:rPr>
          <w:color w:val="000000" w:themeColor="text1"/>
        </w:rPr>
        <w:t xml:space="preserve">But all his efforts brought no peace. </w:t>
      </w:r>
      <w:r w:rsidR="00A7080A" w:rsidRPr="002A1FDB">
        <w:rPr>
          <w:color w:val="000000" w:themeColor="text1"/>
        </w:rPr>
        <w:t xml:space="preserve">As </w:t>
      </w:r>
      <w:r w:rsidR="005A7376" w:rsidRPr="002A1FDB">
        <w:rPr>
          <w:color w:val="000000" w:themeColor="text1"/>
        </w:rPr>
        <w:t>the months</w:t>
      </w:r>
      <w:r w:rsidR="00A7080A" w:rsidRPr="002A1FDB">
        <w:rPr>
          <w:color w:val="000000" w:themeColor="text1"/>
        </w:rPr>
        <w:t xml:space="preserve"> went by, </w:t>
      </w:r>
      <w:r w:rsidR="00A87E66">
        <w:rPr>
          <w:color w:val="000000" w:themeColor="text1"/>
        </w:rPr>
        <w:t>he</w:t>
      </w:r>
      <w:r w:rsidR="00A7080A" w:rsidRPr="002A1FDB">
        <w:rPr>
          <w:color w:val="000000" w:themeColor="text1"/>
        </w:rPr>
        <w:t xml:space="preserve"> felt more and more alienated from God. Holy, majestic, devastating, consuming—</w:t>
      </w:r>
      <w:r w:rsidR="00635190">
        <w:rPr>
          <w:color w:val="000000" w:themeColor="text1"/>
        </w:rPr>
        <w:t>h</w:t>
      </w:r>
      <w:r w:rsidR="00A7080A" w:rsidRPr="002A1FDB">
        <w:rPr>
          <w:color w:val="000000" w:themeColor="text1"/>
        </w:rPr>
        <w:t xml:space="preserve">ow could anyone love a God who is a consuming fire, or a Christ who consigned damned souls to hell? “I was more than once driven to the very abyss of despair,” he later remarked. </w:t>
      </w:r>
    </w:p>
    <w:p w14:paraId="3D63FFF9" w14:textId="06731F1E" w:rsidR="00A7080A" w:rsidRPr="002A1FDB" w:rsidRDefault="00A7080A" w:rsidP="005C68BE">
      <w:pPr>
        <w:spacing w:after="120"/>
        <w:rPr>
          <w:color w:val="000000" w:themeColor="text1"/>
        </w:rPr>
      </w:pPr>
      <w:r w:rsidRPr="002A1FDB">
        <w:rPr>
          <w:color w:val="000000" w:themeColor="text1"/>
        </w:rPr>
        <w:t xml:space="preserve">In the midst of his struggles, the troubled young monk received an unexpected assignment. </w:t>
      </w:r>
      <w:r w:rsidR="00635190">
        <w:rPr>
          <w:color w:val="000000" w:themeColor="text1"/>
        </w:rPr>
        <w:t>The vicar of the Augustinian order</w:t>
      </w:r>
      <w:r w:rsidRPr="002A1FDB">
        <w:rPr>
          <w:color w:val="000000" w:themeColor="text1"/>
        </w:rPr>
        <w:t xml:space="preserve"> told him to study for his doctor’s degree, and to begin preaching and teaching Bible at the University of Wittenberg. Spiritually ailing himself, he was given the task of teaching others. </w:t>
      </w:r>
    </w:p>
    <w:p w14:paraId="76D8A349" w14:textId="7E902F85" w:rsidR="00A7080A" w:rsidRPr="002A1FDB" w:rsidRDefault="00AA3FE3" w:rsidP="005C68BE">
      <w:pPr>
        <w:spacing w:after="120"/>
        <w:rPr>
          <w:color w:val="000000" w:themeColor="text1"/>
        </w:rPr>
      </w:pPr>
      <w:r w:rsidRPr="002A1FDB">
        <w:rPr>
          <w:color w:val="000000" w:themeColor="text1"/>
        </w:rPr>
        <w:t xml:space="preserve">He </w:t>
      </w:r>
      <w:r w:rsidR="00C627A4" w:rsidRPr="002A1FDB">
        <w:rPr>
          <w:color w:val="000000" w:themeColor="text1"/>
        </w:rPr>
        <w:t>started out by lect</w:t>
      </w:r>
      <w:r w:rsidRPr="002A1FDB">
        <w:rPr>
          <w:color w:val="000000" w:themeColor="text1"/>
        </w:rPr>
        <w:t xml:space="preserve">uring on the book of Psalms. </w:t>
      </w:r>
      <w:r w:rsidR="00A87E66">
        <w:rPr>
          <w:color w:val="000000" w:themeColor="text1"/>
        </w:rPr>
        <w:t xml:space="preserve">Then he taught Paul’s letter to the </w:t>
      </w:r>
      <w:r w:rsidRPr="002A1FDB">
        <w:rPr>
          <w:color w:val="000000" w:themeColor="text1"/>
        </w:rPr>
        <w:t xml:space="preserve">Romans, and after that </w:t>
      </w:r>
      <w:r w:rsidR="00A87E66">
        <w:rPr>
          <w:color w:val="000000" w:themeColor="text1"/>
        </w:rPr>
        <w:t xml:space="preserve">his </w:t>
      </w:r>
      <w:r w:rsidRPr="002A1FDB">
        <w:rPr>
          <w:color w:val="000000" w:themeColor="text1"/>
        </w:rPr>
        <w:t xml:space="preserve">letter to the Galatians. What happened to </w:t>
      </w:r>
      <w:r w:rsidR="00215DEE">
        <w:rPr>
          <w:color w:val="000000" w:themeColor="text1"/>
        </w:rPr>
        <w:t>Luther</w:t>
      </w:r>
      <w:r w:rsidR="00215DEE" w:rsidRPr="002A1FDB">
        <w:rPr>
          <w:color w:val="000000" w:themeColor="text1"/>
        </w:rPr>
        <w:t xml:space="preserve"> </w:t>
      </w:r>
      <w:r w:rsidRPr="002A1FDB">
        <w:rPr>
          <w:color w:val="000000" w:themeColor="text1"/>
        </w:rPr>
        <w:t xml:space="preserve">during those four years with the </w:t>
      </w:r>
      <w:r w:rsidR="00C627A4" w:rsidRPr="002A1FDB">
        <w:rPr>
          <w:color w:val="000000" w:themeColor="text1"/>
        </w:rPr>
        <w:t>B</w:t>
      </w:r>
      <w:r w:rsidRPr="002A1FDB">
        <w:rPr>
          <w:color w:val="000000" w:themeColor="text1"/>
        </w:rPr>
        <w:t xml:space="preserve">ible was a Damascus road experience. He </w:t>
      </w:r>
      <w:r w:rsidR="005A7376" w:rsidRPr="002A1FDB">
        <w:rPr>
          <w:color w:val="000000" w:themeColor="text1"/>
        </w:rPr>
        <w:t xml:space="preserve">discovered the gospel for the first. </w:t>
      </w:r>
    </w:p>
    <w:p w14:paraId="76C2536E" w14:textId="3D27D37E" w:rsidR="005A7376" w:rsidRPr="002A1FDB" w:rsidRDefault="005A7376" w:rsidP="005C68BE">
      <w:pPr>
        <w:spacing w:after="120"/>
        <w:rPr>
          <w:color w:val="000000" w:themeColor="text1"/>
        </w:rPr>
      </w:pPr>
      <w:r w:rsidRPr="002A1FDB">
        <w:rPr>
          <w:color w:val="000000" w:themeColor="text1"/>
        </w:rPr>
        <w:t>The focal point of his discovery was Paul’s concept of “justification by faith.” During his years of spiritual turmoil, he thought of divine justice as the quality which led “God to condemn the guilty. And the one thing he was sure of was his guilt. God’s justice offered no hope. “I did not love a just and angry God,” he said, “but I hated and murmured against him.”</w:t>
      </w:r>
    </w:p>
    <w:p w14:paraId="01738DA4" w14:textId="3AF653B6" w:rsidR="00AD45AB" w:rsidRPr="002A1FDB" w:rsidRDefault="00A87E66" w:rsidP="0023215C">
      <w:pPr>
        <w:spacing w:after="120"/>
        <w:rPr>
          <w:color w:val="000000" w:themeColor="text1"/>
        </w:rPr>
      </w:pPr>
      <w:r>
        <w:rPr>
          <w:color w:val="000000" w:themeColor="text1"/>
        </w:rPr>
        <w:t xml:space="preserve">When he discovered </w:t>
      </w:r>
      <w:r w:rsidR="005152A8" w:rsidRPr="002A1FDB">
        <w:rPr>
          <w:color w:val="000000" w:themeColor="text1"/>
        </w:rPr>
        <w:t>that the G</w:t>
      </w:r>
      <w:r w:rsidR="00BD0754" w:rsidRPr="002A1FDB">
        <w:rPr>
          <w:color w:val="000000" w:themeColor="text1"/>
        </w:rPr>
        <w:t>reek word for “justice” can also be translated “j</w:t>
      </w:r>
      <w:r>
        <w:rPr>
          <w:color w:val="000000" w:themeColor="text1"/>
        </w:rPr>
        <w:t>ustification” or “righteousness,</w:t>
      </w:r>
      <w:r w:rsidR="00BD0754" w:rsidRPr="002A1FDB">
        <w:rPr>
          <w:color w:val="000000" w:themeColor="text1"/>
        </w:rPr>
        <w:t xml:space="preserve">” </w:t>
      </w:r>
      <w:r w:rsidR="00215DEE">
        <w:rPr>
          <w:color w:val="000000" w:themeColor="text1"/>
        </w:rPr>
        <w:t>Luther</w:t>
      </w:r>
      <w:r w:rsidR="00215DEE" w:rsidRPr="002A1FDB">
        <w:rPr>
          <w:color w:val="000000" w:themeColor="text1"/>
        </w:rPr>
        <w:t xml:space="preserve"> </w:t>
      </w:r>
      <w:r w:rsidR="00BD0754" w:rsidRPr="002A1FDB">
        <w:rPr>
          <w:color w:val="000000" w:themeColor="text1"/>
        </w:rPr>
        <w:t>came to the momentous realization that righteousness Is not something “God demands</w:t>
      </w:r>
      <w:r w:rsidR="00215DEE">
        <w:rPr>
          <w:color w:val="000000" w:themeColor="text1"/>
        </w:rPr>
        <w:t>, but something God gives.</w:t>
      </w:r>
      <w:r w:rsidR="009D0FE3">
        <w:rPr>
          <w:color w:val="000000" w:themeColor="text1"/>
        </w:rPr>
        <w:t xml:space="preserve">” </w:t>
      </w:r>
      <w:r w:rsidR="00252AEE">
        <w:rPr>
          <w:color w:val="000000" w:themeColor="text1"/>
        </w:rPr>
        <w:t>With the realization that the</w:t>
      </w:r>
      <w:r w:rsidR="0023215C">
        <w:rPr>
          <w:color w:val="000000" w:themeColor="text1"/>
        </w:rPr>
        <w:t xml:space="preserve"> </w:t>
      </w:r>
      <w:r w:rsidR="005B3C9D" w:rsidRPr="002A1FDB">
        <w:rPr>
          <w:color w:val="000000" w:themeColor="text1"/>
        </w:rPr>
        <w:t xml:space="preserve">“righteousness of God” revealed in the Gospel, (Romans 1:16-17) referred not to “that righteousness by which [God] is righteous in himself but to that righteousness by which we are made righteous,” he felt that he “had entered paradise itself through open gates.” </w:t>
      </w:r>
      <w:r w:rsidR="00AD45AB" w:rsidRPr="002A1FDB">
        <w:rPr>
          <w:color w:val="000000" w:themeColor="text1"/>
        </w:rPr>
        <w:t xml:space="preserve">His sins were forgiven—not through </w:t>
      </w:r>
      <w:r w:rsidR="00AD45AB" w:rsidRPr="002A1FDB">
        <w:rPr>
          <w:color w:val="000000" w:themeColor="text1"/>
        </w:rPr>
        <w:lastRenderedPageBreak/>
        <w:t>fasting and vigils and pilgrimages and self-mortification—but through the utterly unmerited grace of God made possible by the cross of Christ.</w:t>
      </w:r>
      <w:r w:rsidR="00AD45AB" w:rsidRPr="002A1FDB">
        <w:rPr>
          <w:rStyle w:val="FootnoteReference"/>
          <w:color w:val="000000" w:themeColor="text1"/>
        </w:rPr>
        <w:footnoteReference w:id="3"/>
      </w:r>
    </w:p>
    <w:p w14:paraId="2429E1AE" w14:textId="29359421" w:rsidR="00C42978" w:rsidRDefault="00C42978" w:rsidP="00B17420">
      <w:pPr>
        <w:spacing w:after="120"/>
        <w:rPr>
          <w:b/>
          <w:color w:val="000000" w:themeColor="text1"/>
        </w:rPr>
      </w:pPr>
      <w:r>
        <w:rPr>
          <w:b/>
          <w:color w:val="000000" w:themeColor="text1"/>
        </w:rPr>
        <w:t>From divine assurance to divine determinism</w:t>
      </w:r>
    </w:p>
    <w:p w14:paraId="4B69A648" w14:textId="0263074A" w:rsidR="002E2C4F" w:rsidRDefault="008319F9" w:rsidP="00B17420">
      <w:pPr>
        <w:spacing w:after="120"/>
        <w:rPr>
          <w:b/>
          <w:color w:val="000000" w:themeColor="text1"/>
        </w:rPr>
      </w:pPr>
      <w:r w:rsidRPr="002A1FDB">
        <w:rPr>
          <w:color w:val="000000" w:themeColor="text1"/>
        </w:rPr>
        <w:t xml:space="preserve">With </w:t>
      </w:r>
      <w:r w:rsidR="003F5836" w:rsidRPr="002A1FDB">
        <w:rPr>
          <w:color w:val="000000" w:themeColor="text1"/>
        </w:rPr>
        <w:t xml:space="preserve">the </w:t>
      </w:r>
      <w:r w:rsidRPr="002A1FDB">
        <w:rPr>
          <w:color w:val="000000" w:themeColor="text1"/>
        </w:rPr>
        <w:t xml:space="preserve">revolutionary </w:t>
      </w:r>
      <w:r w:rsidR="003F5836" w:rsidRPr="002A1FDB">
        <w:rPr>
          <w:color w:val="000000" w:themeColor="text1"/>
        </w:rPr>
        <w:t xml:space="preserve">Reformation </w:t>
      </w:r>
      <w:r w:rsidRPr="002A1FDB">
        <w:rPr>
          <w:color w:val="000000" w:themeColor="text1"/>
        </w:rPr>
        <w:t>emphasis on the priority of divine grace</w:t>
      </w:r>
      <w:r w:rsidR="003F5836" w:rsidRPr="002A1FDB">
        <w:rPr>
          <w:color w:val="000000" w:themeColor="text1"/>
        </w:rPr>
        <w:t xml:space="preserve">, </w:t>
      </w:r>
      <w:r w:rsidRPr="002A1FDB">
        <w:rPr>
          <w:color w:val="000000" w:themeColor="text1"/>
        </w:rPr>
        <w:t xml:space="preserve">questions naturally arise about the role of humanity </w:t>
      </w:r>
      <w:r w:rsidR="003F5836" w:rsidRPr="002A1FDB">
        <w:rPr>
          <w:color w:val="000000" w:themeColor="text1"/>
        </w:rPr>
        <w:t xml:space="preserve">in the experience of salvation. And </w:t>
      </w:r>
      <w:r w:rsidR="00376AE7" w:rsidRPr="002A1FDB">
        <w:rPr>
          <w:color w:val="000000" w:themeColor="text1"/>
        </w:rPr>
        <w:t xml:space="preserve">here </w:t>
      </w:r>
      <w:r w:rsidR="004D0EBA">
        <w:rPr>
          <w:color w:val="000000" w:themeColor="text1"/>
        </w:rPr>
        <w:t>the great Reformers were</w:t>
      </w:r>
      <w:r w:rsidR="003D7FD6">
        <w:rPr>
          <w:color w:val="000000" w:themeColor="text1"/>
        </w:rPr>
        <w:t xml:space="preserve"> emphatic:</w:t>
      </w:r>
      <w:r w:rsidR="0051650C" w:rsidRPr="002A1FDB">
        <w:rPr>
          <w:color w:val="000000" w:themeColor="text1"/>
        </w:rPr>
        <w:t xml:space="preserve"> </w:t>
      </w:r>
      <w:r w:rsidR="00CF7592">
        <w:rPr>
          <w:color w:val="000000" w:themeColor="text1"/>
        </w:rPr>
        <w:t>salvation</w:t>
      </w:r>
      <w:r w:rsidR="0051650C" w:rsidRPr="002A1FDB">
        <w:rPr>
          <w:color w:val="000000" w:themeColor="text1"/>
        </w:rPr>
        <w:t xml:space="preserve"> is entirely a matter of divine decision. </w:t>
      </w:r>
      <w:r w:rsidR="00343DD3">
        <w:rPr>
          <w:color w:val="000000" w:themeColor="text1"/>
        </w:rPr>
        <w:t xml:space="preserve">Nothing we do contributes to it. </w:t>
      </w:r>
      <w:r w:rsidR="001441D5" w:rsidRPr="002A1FDB">
        <w:rPr>
          <w:color w:val="000000" w:themeColor="text1"/>
        </w:rPr>
        <w:t xml:space="preserve">In his exchange with Erasmus on the matter of free will, Luther </w:t>
      </w:r>
      <w:r w:rsidR="00D67FB9" w:rsidRPr="002A1FDB">
        <w:rPr>
          <w:color w:val="000000" w:themeColor="text1"/>
        </w:rPr>
        <w:t>asserts, “With r</w:t>
      </w:r>
      <w:r w:rsidR="00823334" w:rsidRPr="002A1FDB">
        <w:rPr>
          <w:color w:val="000000" w:themeColor="text1"/>
        </w:rPr>
        <w:t>egard to God, and in all that be</w:t>
      </w:r>
      <w:r w:rsidR="00D67FB9" w:rsidRPr="002A1FDB">
        <w:rPr>
          <w:color w:val="000000" w:themeColor="text1"/>
        </w:rPr>
        <w:t>ars on salvation or damnation, [man] has no ‘f</w:t>
      </w:r>
      <w:r w:rsidR="00823334" w:rsidRPr="002A1FDB">
        <w:rPr>
          <w:color w:val="000000" w:themeColor="text1"/>
        </w:rPr>
        <w:t>r</w:t>
      </w:r>
      <w:r w:rsidR="00D67FB9" w:rsidRPr="002A1FDB">
        <w:rPr>
          <w:color w:val="000000" w:themeColor="text1"/>
        </w:rPr>
        <w:t xml:space="preserve">ee will’ but is a captive, prisoner, and </w:t>
      </w:r>
      <w:proofErr w:type="spellStart"/>
      <w:r w:rsidR="00D67FB9" w:rsidRPr="002A1FDB">
        <w:rPr>
          <w:color w:val="000000" w:themeColor="text1"/>
        </w:rPr>
        <w:t>bon</w:t>
      </w:r>
      <w:r w:rsidR="00823334" w:rsidRPr="002A1FDB">
        <w:rPr>
          <w:color w:val="000000" w:themeColor="text1"/>
        </w:rPr>
        <w:t>d</w:t>
      </w:r>
      <w:r w:rsidR="00D67FB9" w:rsidRPr="002A1FDB">
        <w:rPr>
          <w:color w:val="000000" w:themeColor="text1"/>
        </w:rPr>
        <w:t>slave</w:t>
      </w:r>
      <w:proofErr w:type="spellEnd"/>
      <w:r w:rsidR="00D67FB9" w:rsidRPr="002A1FDB">
        <w:rPr>
          <w:color w:val="000000" w:themeColor="text1"/>
        </w:rPr>
        <w:t xml:space="preserve">, either </w:t>
      </w:r>
      <w:r w:rsidR="00823334" w:rsidRPr="002A1FDB">
        <w:rPr>
          <w:color w:val="000000" w:themeColor="text1"/>
        </w:rPr>
        <w:t xml:space="preserve">to the will of God </w:t>
      </w:r>
      <w:r w:rsidR="00D67FB9" w:rsidRPr="002A1FDB">
        <w:rPr>
          <w:color w:val="000000" w:themeColor="text1"/>
        </w:rPr>
        <w:t>or to the will of Satan.”</w:t>
      </w:r>
      <w:r w:rsidR="007F6DE9" w:rsidRPr="002A1FDB">
        <w:rPr>
          <w:rStyle w:val="FootnoteReference"/>
          <w:color w:val="000000" w:themeColor="text1"/>
        </w:rPr>
        <w:footnoteReference w:id="4"/>
      </w:r>
      <w:r w:rsidR="00343DD3">
        <w:rPr>
          <w:color w:val="000000" w:themeColor="text1"/>
        </w:rPr>
        <w:t xml:space="preserve"> We do not have </w:t>
      </w:r>
      <w:r w:rsidR="004D0EBA">
        <w:rPr>
          <w:color w:val="000000" w:themeColor="text1"/>
        </w:rPr>
        <w:t>the freedom to say Yes to God. And n</w:t>
      </w:r>
      <w:r w:rsidR="00343DD3">
        <w:rPr>
          <w:color w:val="000000" w:themeColor="text1"/>
        </w:rPr>
        <w:t xml:space="preserve">either, as John </w:t>
      </w:r>
      <w:r w:rsidR="005C68BE">
        <w:rPr>
          <w:color w:val="000000" w:themeColor="text1"/>
        </w:rPr>
        <w:t>Calvin</w:t>
      </w:r>
      <w:r w:rsidR="00343DD3">
        <w:rPr>
          <w:color w:val="000000" w:themeColor="text1"/>
        </w:rPr>
        <w:t xml:space="preserve"> is famous for insisting, do we say No</w:t>
      </w:r>
      <w:r w:rsidR="00AC5DC7">
        <w:rPr>
          <w:color w:val="000000" w:themeColor="text1"/>
        </w:rPr>
        <w:t xml:space="preserve"> because we are free</w:t>
      </w:r>
      <w:r w:rsidR="00343DD3">
        <w:rPr>
          <w:color w:val="000000" w:themeColor="text1"/>
        </w:rPr>
        <w:t xml:space="preserve">. </w:t>
      </w:r>
    </w:p>
    <w:p w14:paraId="573AA29D" w14:textId="770C53C7" w:rsidR="00B84418" w:rsidRPr="002A1FDB" w:rsidRDefault="005C68BE" w:rsidP="005C68BE">
      <w:pPr>
        <w:spacing w:after="120"/>
        <w:rPr>
          <w:color w:val="000000" w:themeColor="text1"/>
        </w:rPr>
      </w:pPr>
      <w:r>
        <w:rPr>
          <w:color w:val="000000" w:themeColor="text1"/>
        </w:rPr>
        <w:t>Calvin</w:t>
      </w:r>
      <w:r w:rsidR="00343DD3">
        <w:rPr>
          <w:color w:val="000000" w:themeColor="text1"/>
        </w:rPr>
        <w:t xml:space="preserve"> develops his doctrine of “double predestination”</w:t>
      </w:r>
      <w:r w:rsidR="001A16A5" w:rsidRPr="002A1FDB">
        <w:rPr>
          <w:color w:val="000000" w:themeColor="text1"/>
        </w:rPr>
        <w:t xml:space="preserve">—not </w:t>
      </w:r>
      <w:r>
        <w:rPr>
          <w:color w:val="000000" w:themeColor="text1"/>
        </w:rPr>
        <w:t>Calvin</w:t>
      </w:r>
      <w:r w:rsidR="00343DD3">
        <w:rPr>
          <w:color w:val="000000" w:themeColor="text1"/>
        </w:rPr>
        <w:t xml:space="preserve">’s own </w:t>
      </w:r>
      <w:r w:rsidR="001A16A5" w:rsidRPr="002A1FDB">
        <w:rPr>
          <w:color w:val="000000" w:themeColor="text1"/>
        </w:rPr>
        <w:t>expression</w:t>
      </w:r>
      <w:r w:rsidR="00343DD3">
        <w:rPr>
          <w:color w:val="000000" w:themeColor="text1"/>
        </w:rPr>
        <w:t>, by the way</w:t>
      </w:r>
      <w:r w:rsidR="001A16A5" w:rsidRPr="002A1FDB">
        <w:rPr>
          <w:color w:val="000000" w:themeColor="text1"/>
        </w:rPr>
        <w:t>—</w:t>
      </w:r>
      <w:r w:rsidR="003D7FD6">
        <w:rPr>
          <w:color w:val="000000" w:themeColor="text1"/>
        </w:rPr>
        <w:t>in</w:t>
      </w:r>
      <w:r w:rsidR="001A16A5" w:rsidRPr="002A1FDB">
        <w:rPr>
          <w:color w:val="000000" w:themeColor="text1"/>
        </w:rPr>
        <w:t xml:space="preserve"> Book 3 of </w:t>
      </w:r>
      <w:r w:rsidR="00CA5C66" w:rsidRPr="002A1FDB">
        <w:rPr>
          <w:color w:val="000000" w:themeColor="text1"/>
        </w:rPr>
        <w:t>his</w:t>
      </w:r>
      <w:r w:rsidR="001A16A5" w:rsidRPr="002A1FDB">
        <w:rPr>
          <w:color w:val="000000" w:themeColor="text1"/>
        </w:rPr>
        <w:t xml:space="preserve"> </w:t>
      </w:r>
      <w:r w:rsidR="001A16A5" w:rsidRPr="002A1FDB">
        <w:rPr>
          <w:i/>
          <w:color w:val="000000" w:themeColor="text1"/>
        </w:rPr>
        <w:t xml:space="preserve">Institutes of the Christian Religion. </w:t>
      </w:r>
      <w:r w:rsidR="00E97EC6">
        <w:rPr>
          <w:color w:val="000000" w:themeColor="text1"/>
        </w:rPr>
        <w:t>H</w:t>
      </w:r>
      <w:r w:rsidR="003D7FD6">
        <w:rPr>
          <w:color w:val="000000" w:themeColor="text1"/>
        </w:rPr>
        <w:t>e defines</w:t>
      </w:r>
      <w:r w:rsidR="00E97EC6">
        <w:rPr>
          <w:color w:val="000000" w:themeColor="text1"/>
        </w:rPr>
        <w:t xml:space="preserve"> predestination</w:t>
      </w:r>
      <w:r w:rsidR="003D7FD6">
        <w:rPr>
          <w:color w:val="000000" w:themeColor="text1"/>
        </w:rPr>
        <w:t xml:space="preserve"> </w:t>
      </w:r>
      <w:r w:rsidR="00E97EC6">
        <w:rPr>
          <w:color w:val="000000" w:themeColor="text1"/>
        </w:rPr>
        <w:t>as</w:t>
      </w:r>
      <w:r w:rsidR="00F23152" w:rsidRPr="002A1FDB">
        <w:rPr>
          <w:color w:val="000000" w:themeColor="text1"/>
        </w:rPr>
        <w:t xml:space="preserve"> “the eternal decree of God, by which he determined with himself whatever he wished to </w:t>
      </w:r>
      <w:r w:rsidR="00A823F0" w:rsidRPr="002A1FDB">
        <w:rPr>
          <w:color w:val="000000" w:themeColor="text1"/>
        </w:rPr>
        <w:t>happen</w:t>
      </w:r>
      <w:r w:rsidR="00F23152" w:rsidRPr="002A1FDB">
        <w:rPr>
          <w:color w:val="000000" w:themeColor="text1"/>
        </w:rPr>
        <w:t xml:space="preserve"> with regard to every man. All are not </w:t>
      </w:r>
      <w:r w:rsidR="00A823F0" w:rsidRPr="002A1FDB">
        <w:rPr>
          <w:color w:val="000000" w:themeColor="text1"/>
        </w:rPr>
        <w:t>created</w:t>
      </w:r>
      <w:r w:rsidR="00F23152" w:rsidRPr="002A1FDB">
        <w:rPr>
          <w:color w:val="000000" w:themeColor="text1"/>
        </w:rPr>
        <w:t xml:space="preserve"> on equal</w:t>
      </w:r>
      <w:r w:rsidR="00A823F0" w:rsidRPr="002A1FDB">
        <w:rPr>
          <w:color w:val="000000" w:themeColor="text1"/>
        </w:rPr>
        <w:t xml:space="preserve"> terms</w:t>
      </w:r>
      <w:r w:rsidR="00F23152" w:rsidRPr="002A1FDB">
        <w:rPr>
          <w:color w:val="000000" w:themeColor="text1"/>
        </w:rPr>
        <w:t xml:space="preserve">, but some are preordained to </w:t>
      </w:r>
      <w:r w:rsidR="00A823F0" w:rsidRPr="002A1FDB">
        <w:rPr>
          <w:color w:val="000000" w:themeColor="text1"/>
        </w:rPr>
        <w:t xml:space="preserve">eternal </w:t>
      </w:r>
      <w:r w:rsidR="00F23152" w:rsidRPr="002A1FDB">
        <w:rPr>
          <w:color w:val="000000" w:themeColor="text1"/>
        </w:rPr>
        <w:t>life, other</w:t>
      </w:r>
      <w:r w:rsidR="00A823F0" w:rsidRPr="002A1FDB">
        <w:rPr>
          <w:color w:val="000000" w:themeColor="text1"/>
        </w:rPr>
        <w:t>s</w:t>
      </w:r>
      <w:r w:rsidR="00F23152" w:rsidRPr="002A1FDB">
        <w:rPr>
          <w:color w:val="000000" w:themeColor="text1"/>
        </w:rPr>
        <w:t xml:space="preserve"> to eternal damnation</w:t>
      </w:r>
      <w:r w:rsidR="00A823F0" w:rsidRPr="002A1FDB">
        <w:rPr>
          <w:color w:val="000000" w:themeColor="text1"/>
        </w:rPr>
        <w:t>…</w:t>
      </w:r>
      <w:r w:rsidR="00F23152" w:rsidRPr="002A1FDB">
        <w:rPr>
          <w:color w:val="000000" w:themeColor="text1"/>
        </w:rPr>
        <w:t>.”</w:t>
      </w:r>
      <w:r w:rsidR="00F23152" w:rsidRPr="002A1FDB">
        <w:rPr>
          <w:rStyle w:val="FootnoteReference"/>
          <w:color w:val="000000" w:themeColor="text1"/>
        </w:rPr>
        <w:footnoteReference w:id="5"/>
      </w:r>
      <w:r w:rsidR="00812BB4" w:rsidRPr="002A1FDB">
        <w:rPr>
          <w:color w:val="000000" w:themeColor="text1"/>
        </w:rPr>
        <w:t xml:space="preserve"> </w:t>
      </w:r>
      <w:r w:rsidR="0007628B" w:rsidRPr="002A1FDB">
        <w:rPr>
          <w:color w:val="000000" w:themeColor="text1"/>
        </w:rPr>
        <w:t>Because God is contented with his “secret pleasure,” the “intrinsic cause” of predestination is in himself,</w:t>
      </w:r>
      <w:r w:rsidR="0007628B" w:rsidRPr="002A1FDB">
        <w:rPr>
          <w:rStyle w:val="FootnoteReference"/>
          <w:color w:val="000000" w:themeColor="text1"/>
        </w:rPr>
        <w:footnoteReference w:id="6"/>
      </w:r>
      <w:r w:rsidR="0007628B" w:rsidRPr="002A1FDB">
        <w:rPr>
          <w:color w:val="000000" w:themeColor="text1"/>
        </w:rPr>
        <w:t xml:space="preserve"> and this accounts for its twofold character. “If we cannot assign any reason for his bestowing mercy on his people, but just that it pleases him, neither can we have any reason for his reprobating other</w:t>
      </w:r>
      <w:r w:rsidR="005F2E98" w:rsidRPr="002A1FDB">
        <w:rPr>
          <w:color w:val="000000" w:themeColor="text1"/>
        </w:rPr>
        <w:t>s</w:t>
      </w:r>
      <w:r w:rsidR="0007628B" w:rsidRPr="002A1FDB">
        <w:rPr>
          <w:color w:val="000000" w:themeColor="text1"/>
        </w:rPr>
        <w:t xml:space="preserve"> but his will.”</w:t>
      </w:r>
      <w:r w:rsidR="0007628B" w:rsidRPr="002A1FDB">
        <w:rPr>
          <w:rStyle w:val="FootnoteReference"/>
          <w:color w:val="000000" w:themeColor="text1"/>
        </w:rPr>
        <w:footnoteReference w:id="7"/>
      </w:r>
      <w:r w:rsidR="005F2E98" w:rsidRPr="002A1FDB">
        <w:rPr>
          <w:color w:val="000000" w:themeColor="text1"/>
        </w:rPr>
        <w:t xml:space="preserve"> </w:t>
      </w:r>
      <w:r w:rsidR="008F1371" w:rsidRPr="002A1FDB">
        <w:rPr>
          <w:color w:val="000000" w:themeColor="text1"/>
        </w:rPr>
        <w:t xml:space="preserve">Accordingly, predestination to eternal life is not in the least influenced by any human activity, such as good works or “merit.” </w:t>
      </w:r>
      <w:r w:rsidR="00E97EC6">
        <w:rPr>
          <w:color w:val="000000" w:themeColor="text1"/>
        </w:rPr>
        <w:t>W</w:t>
      </w:r>
      <w:r w:rsidR="008F1371" w:rsidRPr="002A1FDB">
        <w:rPr>
          <w:color w:val="000000" w:themeColor="text1"/>
        </w:rPr>
        <w:t>herever God’s “good pleasure” reigns, no good works are taken into account</w:t>
      </w:r>
      <w:r w:rsidR="00E97EC6">
        <w:rPr>
          <w:color w:val="000000" w:themeColor="text1"/>
        </w:rPr>
        <w:t>.</w:t>
      </w:r>
      <w:r w:rsidR="008F1371" w:rsidRPr="002A1FDB">
        <w:rPr>
          <w:rStyle w:val="FootnoteReference"/>
          <w:color w:val="000000" w:themeColor="text1"/>
        </w:rPr>
        <w:footnoteReference w:id="8"/>
      </w:r>
      <w:r w:rsidR="008F1371" w:rsidRPr="002A1FDB">
        <w:rPr>
          <w:color w:val="000000" w:themeColor="text1"/>
        </w:rPr>
        <w:t xml:space="preserve"> In no way, then, is salvation the r</w:t>
      </w:r>
      <w:r w:rsidR="00B84418" w:rsidRPr="002A1FDB">
        <w:rPr>
          <w:color w:val="000000" w:themeColor="text1"/>
        </w:rPr>
        <w:t>esult of some form of divine-hu</w:t>
      </w:r>
      <w:r w:rsidR="008F1371" w:rsidRPr="002A1FDB">
        <w:rPr>
          <w:color w:val="000000" w:themeColor="text1"/>
        </w:rPr>
        <w:t>man cooperation, for “God finds nothing in men themselves to induce him to show kindness.”</w:t>
      </w:r>
      <w:r w:rsidR="008F1371" w:rsidRPr="002A1FDB">
        <w:rPr>
          <w:rStyle w:val="FootnoteReference"/>
          <w:color w:val="000000" w:themeColor="text1"/>
        </w:rPr>
        <w:footnoteReference w:id="9"/>
      </w:r>
      <w:r w:rsidR="00B84418" w:rsidRPr="002A1FDB">
        <w:rPr>
          <w:color w:val="000000" w:themeColor="text1"/>
        </w:rPr>
        <w:t xml:space="preserve"> </w:t>
      </w:r>
    </w:p>
    <w:p w14:paraId="57C764ED" w14:textId="12D4C50E" w:rsidR="007F6DE9" w:rsidRPr="002A1FDB" w:rsidRDefault="005C68BE" w:rsidP="005C68BE">
      <w:pPr>
        <w:spacing w:after="120"/>
        <w:rPr>
          <w:color w:val="000000" w:themeColor="text1"/>
        </w:rPr>
      </w:pPr>
      <w:r>
        <w:rPr>
          <w:color w:val="000000" w:themeColor="text1"/>
        </w:rPr>
        <w:t>Calvin</w:t>
      </w:r>
      <w:r w:rsidR="00B84418" w:rsidRPr="002A1FDB">
        <w:rPr>
          <w:color w:val="000000" w:themeColor="text1"/>
        </w:rPr>
        <w:t xml:space="preserve"> is insistent. The result of God’s free mercy is “not shared between the grace of God and the will and agency of man.”</w:t>
      </w:r>
      <w:r w:rsidR="00B84418" w:rsidRPr="002A1FDB">
        <w:rPr>
          <w:rStyle w:val="FootnoteReference"/>
          <w:color w:val="000000" w:themeColor="text1"/>
        </w:rPr>
        <w:footnoteReference w:id="10"/>
      </w:r>
      <w:r w:rsidR="00B84418" w:rsidRPr="002A1FDB">
        <w:rPr>
          <w:color w:val="000000" w:themeColor="text1"/>
        </w:rPr>
        <w:t xml:space="preserve"> </w:t>
      </w:r>
      <w:r w:rsidR="00473802" w:rsidRPr="002A1FDB">
        <w:rPr>
          <w:color w:val="000000" w:themeColor="text1"/>
        </w:rPr>
        <w:t>But what about the idea that</w:t>
      </w:r>
      <w:r w:rsidR="00B84418" w:rsidRPr="002A1FDB">
        <w:rPr>
          <w:color w:val="000000" w:themeColor="text1"/>
        </w:rPr>
        <w:t xml:space="preserve"> </w:t>
      </w:r>
      <w:r w:rsidR="005718FF" w:rsidRPr="002A1FDB">
        <w:rPr>
          <w:color w:val="000000" w:themeColor="text1"/>
        </w:rPr>
        <w:t>even though</w:t>
      </w:r>
      <w:r w:rsidR="00473802" w:rsidRPr="002A1FDB">
        <w:rPr>
          <w:color w:val="000000" w:themeColor="text1"/>
        </w:rPr>
        <w:t xml:space="preserve"> </w:t>
      </w:r>
      <w:r w:rsidR="00B84418" w:rsidRPr="002A1FDB">
        <w:rPr>
          <w:color w:val="000000" w:themeColor="text1"/>
        </w:rPr>
        <w:t>the desire and ende</w:t>
      </w:r>
      <w:r w:rsidR="00473802" w:rsidRPr="002A1FDB">
        <w:rPr>
          <w:color w:val="000000" w:themeColor="text1"/>
        </w:rPr>
        <w:t>avor of sinners are</w:t>
      </w:r>
      <w:r w:rsidR="00B84418" w:rsidRPr="002A1FDB">
        <w:rPr>
          <w:color w:val="000000" w:themeColor="text1"/>
        </w:rPr>
        <w:t xml:space="preserve"> of no avail by themselves </w:t>
      </w:r>
      <w:r w:rsidR="005718FF" w:rsidRPr="002A1FDB">
        <w:rPr>
          <w:color w:val="000000" w:themeColor="text1"/>
        </w:rPr>
        <w:t>without</w:t>
      </w:r>
      <w:r w:rsidR="00B84418" w:rsidRPr="002A1FDB">
        <w:rPr>
          <w:color w:val="000000" w:themeColor="text1"/>
        </w:rPr>
        <w:t xml:space="preserve"> the grace of God, they nevertheless do their part in procuring salvation, when</w:t>
      </w:r>
      <w:r w:rsidR="00473802" w:rsidRPr="002A1FDB">
        <w:rPr>
          <w:color w:val="000000" w:themeColor="text1"/>
        </w:rPr>
        <w:t xml:space="preserve"> they are aided by his blessing? Wrong again. </w:t>
      </w:r>
      <w:r>
        <w:rPr>
          <w:color w:val="000000" w:themeColor="text1"/>
        </w:rPr>
        <w:t>Calvin</w:t>
      </w:r>
      <w:r w:rsidR="00473802" w:rsidRPr="002A1FDB">
        <w:rPr>
          <w:color w:val="000000" w:themeColor="text1"/>
        </w:rPr>
        <w:t xml:space="preserve"> won’t grant “the subtlety of this argument” even “the value of straw.”</w:t>
      </w:r>
      <w:r w:rsidR="00473802" w:rsidRPr="002A1FDB">
        <w:rPr>
          <w:rStyle w:val="FootnoteReference"/>
          <w:color w:val="000000" w:themeColor="text1"/>
        </w:rPr>
        <w:footnoteReference w:id="11"/>
      </w:r>
      <w:r w:rsidR="00473802" w:rsidRPr="002A1FDB">
        <w:rPr>
          <w:color w:val="000000" w:themeColor="text1"/>
        </w:rPr>
        <w:t xml:space="preserve"> </w:t>
      </w:r>
      <w:r w:rsidR="00E21E60" w:rsidRPr="002A1FDB">
        <w:rPr>
          <w:color w:val="000000" w:themeColor="text1"/>
        </w:rPr>
        <w:t>Even the acquisition of faith is attributable to God, to whom alone “belongs the glory of freely illuminating those whom he had previously chosen.”</w:t>
      </w:r>
      <w:r w:rsidR="00E21E60" w:rsidRPr="002A1FDB">
        <w:rPr>
          <w:rStyle w:val="FootnoteReference"/>
          <w:color w:val="000000" w:themeColor="text1"/>
        </w:rPr>
        <w:footnoteReference w:id="12"/>
      </w:r>
    </w:p>
    <w:p w14:paraId="7A54A5EB" w14:textId="694E866C" w:rsidR="00E27E6A" w:rsidRDefault="00E97EC6" w:rsidP="00B17420">
      <w:pPr>
        <w:spacing w:after="120"/>
        <w:rPr>
          <w:b/>
          <w:color w:val="000000" w:themeColor="text1"/>
        </w:rPr>
      </w:pPr>
      <w:r>
        <w:rPr>
          <w:color w:val="000000" w:themeColor="text1"/>
        </w:rPr>
        <w:t>So, there is only one</w:t>
      </w:r>
      <w:r w:rsidR="00F22257" w:rsidRPr="002A1FDB">
        <w:rPr>
          <w:color w:val="000000" w:themeColor="text1"/>
        </w:rPr>
        <w:t xml:space="preserve"> explanation for the fact that </w:t>
      </w:r>
      <w:r>
        <w:rPr>
          <w:color w:val="000000" w:themeColor="text1"/>
        </w:rPr>
        <w:t xml:space="preserve">some are predestined </w:t>
      </w:r>
      <w:r w:rsidR="00100B85" w:rsidRPr="002A1FDB">
        <w:rPr>
          <w:color w:val="000000" w:themeColor="text1"/>
        </w:rPr>
        <w:t>to eternal life and others to eternal damnation</w:t>
      </w:r>
      <w:r>
        <w:rPr>
          <w:color w:val="000000" w:themeColor="text1"/>
        </w:rPr>
        <w:t>—</w:t>
      </w:r>
      <w:r w:rsidR="00100B85" w:rsidRPr="002A1FDB">
        <w:rPr>
          <w:color w:val="000000" w:themeColor="text1"/>
        </w:rPr>
        <w:t xml:space="preserve">namely, </w:t>
      </w:r>
      <w:r w:rsidR="00870EA2" w:rsidRPr="002A1FDB">
        <w:rPr>
          <w:color w:val="000000" w:themeColor="text1"/>
        </w:rPr>
        <w:t xml:space="preserve">because </w:t>
      </w:r>
      <w:r w:rsidR="00100B85" w:rsidRPr="002A1FDB">
        <w:rPr>
          <w:color w:val="000000" w:themeColor="text1"/>
        </w:rPr>
        <w:t>God</w:t>
      </w:r>
      <w:r w:rsidR="00870EA2" w:rsidRPr="002A1FDB">
        <w:rPr>
          <w:color w:val="000000" w:themeColor="text1"/>
        </w:rPr>
        <w:t xml:space="preserve"> wills it</w:t>
      </w:r>
      <w:r w:rsidR="00100B85" w:rsidRPr="002A1FDB">
        <w:rPr>
          <w:color w:val="000000" w:themeColor="text1"/>
        </w:rPr>
        <w:t xml:space="preserve">. </w:t>
      </w:r>
      <w:r>
        <w:rPr>
          <w:color w:val="000000" w:themeColor="text1"/>
        </w:rPr>
        <w:t>And</w:t>
      </w:r>
      <w:r w:rsidR="00F20975" w:rsidRPr="002A1FDB">
        <w:rPr>
          <w:color w:val="000000" w:themeColor="text1"/>
        </w:rPr>
        <w:t xml:space="preserve"> there is no basis for questioning </w:t>
      </w:r>
      <w:r w:rsidR="00F20975" w:rsidRPr="002A1FDB">
        <w:rPr>
          <w:color w:val="000000" w:themeColor="text1"/>
        </w:rPr>
        <w:lastRenderedPageBreak/>
        <w:t xml:space="preserve">the justice of </w:t>
      </w:r>
      <w:r>
        <w:rPr>
          <w:color w:val="000000" w:themeColor="text1"/>
        </w:rPr>
        <w:t>God’s will</w:t>
      </w:r>
      <w:r w:rsidR="00F20975" w:rsidRPr="002A1FDB">
        <w:rPr>
          <w:color w:val="000000" w:themeColor="text1"/>
        </w:rPr>
        <w:t xml:space="preserve">, because God’s will </w:t>
      </w:r>
      <w:proofErr w:type="gramStart"/>
      <w:r w:rsidR="00F20975" w:rsidRPr="002A1FDB">
        <w:rPr>
          <w:color w:val="000000" w:themeColor="text1"/>
        </w:rPr>
        <w:t>is</w:t>
      </w:r>
      <w:proofErr w:type="gramEnd"/>
      <w:r w:rsidR="00F20975" w:rsidRPr="002A1FDB">
        <w:rPr>
          <w:color w:val="000000" w:themeColor="text1"/>
        </w:rPr>
        <w:t xml:space="preserve"> the “supreme standard of justice.”</w:t>
      </w:r>
      <w:r w:rsidR="00F20975" w:rsidRPr="002A1FDB">
        <w:rPr>
          <w:rStyle w:val="FootnoteReference"/>
          <w:color w:val="000000" w:themeColor="text1"/>
        </w:rPr>
        <w:footnoteReference w:id="13"/>
      </w:r>
      <w:r w:rsidR="00F20975" w:rsidRPr="002A1FDB">
        <w:rPr>
          <w:color w:val="000000" w:themeColor="text1"/>
        </w:rPr>
        <w:t xml:space="preserve"> </w:t>
      </w:r>
      <w:r>
        <w:rPr>
          <w:color w:val="000000" w:themeColor="text1"/>
        </w:rPr>
        <w:t>“[E]</w:t>
      </w:r>
      <w:proofErr w:type="spellStart"/>
      <w:r w:rsidR="00886186" w:rsidRPr="002A1FDB">
        <w:rPr>
          <w:color w:val="000000" w:themeColor="text1"/>
        </w:rPr>
        <w:t>verything</w:t>
      </w:r>
      <w:proofErr w:type="spellEnd"/>
      <w:r w:rsidR="00886186" w:rsidRPr="002A1FDB">
        <w:rPr>
          <w:color w:val="000000" w:themeColor="text1"/>
        </w:rPr>
        <w:t xml:space="preserve"> which he wills must be held to be righteous by the mere fact of his willing it.”</w:t>
      </w:r>
      <w:r w:rsidR="00886186" w:rsidRPr="002A1FDB">
        <w:rPr>
          <w:rStyle w:val="FootnoteReference"/>
          <w:color w:val="000000" w:themeColor="text1"/>
        </w:rPr>
        <w:footnoteReference w:id="14"/>
      </w:r>
      <w:r w:rsidR="00886186" w:rsidRPr="002A1FDB">
        <w:rPr>
          <w:color w:val="000000" w:themeColor="text1"/>
        </w:rPr>
        <w:t xml:space="preserve"> </w:t>
      </w:r>
    </w:p>
    <w:p w14:paraId="0E22C271" w14:textId="5E9481CF" w:rsidR="00776D04" w:rsidRDefault="0029014E" w:rsidP="005C68BE">
      <w:pPr>
        <w:spacing w:after="120"/>
        <w:rPr>
          <w:color w:val="000000" w:themeColor="text1"/>
        </w:rPr>
      </w:pPr>
      <w:r w:rsidRPr="002A1FDB">
        <w:rPr>
          <w:color w:val="000000" w:themeColor="text1"/>
        </w:rPr>
        <w:t xml:space="preserve">Implacable, and forbidding, as the logic of predestination sounds to modern ears, </w:t>
      </w:r>
      <w:r w:rsidR="00651335">
        <w:rPr>
          <w:color w:val="000000" w:themeColor="text1"/>
        </w:rPr>
        <w:t>there are factors that seem to</w:t>
      </w:r>
      <w:r w:rsidR="00E97EC6">
        <w:rPr>
          <w:color w:val="000000" w:themeColor="text1"/>
        </w:rPr>
        <w:t xml:space="preserve"> qualify</w:t>
      </w:r>
      <w:r w:rsidRPr="002A1FDB">
        <w:rPr>
          <w:color w:val="000000" w:themeColor="text1"/>
        </w:rPr>
        <w:t xml:space="preserve"> </w:t>
      </w:r>
      <w:r w:rsidR="00651335">
        <w:rPr>
          <w:color w:val="000000" w:themeColor="text1"/>
        </w:rPr>
        <w:t xml:space="preserve">its relative importance in </w:t>
      </w:r>
      <w:r w:rsidR="005C68BE">
        <w:rPr>
          <w:color w:val="000000" w:themeColor="text1"/>
        </w:rPr>
        <w:t>Calvin</w:t>
      </w:r>
      <w:r w:rsidRPr="002A1FDB">
        <w:rPr>
          <w:color w:val="000000" w:themeColor="text1"/>
        </w:rPr>
        <w:t xml:space="preserve">’s </w:t>
      </w:r>
      <w:r w:rsidR="00651335">
        <w:rPr>
          <w:color w:val="000000" w:themeColor="text1"/>
        </w:rPr>
        <w:t>thought</w:t>
      </w:r>
      <w:r w:rsidRPr="002A1FDB">
        <w:rPr>
          <w:color w:val="000000" w:themeColor="text1"/>
        </w:rPr>
        <w:t xml:space="preserve">. </w:t>
      </w:r>
      <w:r w:rsidR="00AC10EC" w:rsidRPr="002A1FDB">
        <w:rPr>
          <w:color w:val="000000" w:themeColor="text1"/>
        </w:rPr>
        <w:t>For</w:t>
      </w:r>
      <w:r w:rsidR="00AC10EC">
        <w:rPr>
          <w:color w:val="000000" w:themeColor="text1"/>
        </w:rPr>
        <w:t xml:space="preserve"> one thing</w:t>
      </w:r>
      <w:r w:rsidR="00AC10EC" w:rsidRPr="002A1FDB">
        <w:rPr>
          <w:color w:val="000000" w:themeColor="text1"/>
        </w:rPr>
        <w:t xml:space="preserve">, a discussion of predestination is noticeably absent from the 1536 edition of the </w:t>
      </w:r>
      <w:r w:rsidR="00AC10EC" w:rsidRPr="002A1FDB">
        <w:rPr>
          <w:i/>
          <w:color w:val="000000" w:themeColor="text1"/>
        </w:rPr>
        <w:t>Institutes</w:t>
      </w:r>
      <w:r w:rsidR="00AC10EC" w:rsidRPr="002A1FDB">
        <w:rPr>
          <w:color w:val="000000" w:themeColor="text1"/>
        </w:rPr>
        <w:t>, and it does not make an appearance in the 1539 edition until th</w:t>
      </w:r>
      <w:r w:rsidR="00AC10EC">
        <w:rPr>
          <w:color w:val="000000" w:themeColor="text1"/>
        </w:rPr>
        <w:t>e end of volume three—</w:t>
      </w:r>
      <w:r w:rsidR="00AC10EC" w:rsidRPr="002A1FDB">
        <w:rPr>
          <w:color w:val="000000" w:themeColor="text1"/>
        </w:rPr>
        <w:t xml:space="preserve">of </w:t>
      </w:r>
      <w:r w:rsidR="004D1FD6">
        <w:rPr>
          <w:color w:val="000000" w:themeColor="text1"/>
        </w:rPr>
        <w:t xml:space="preserve">the </w:t>
      </w:r>
      <w:r w:rsidR="00AC10EC" w:rsidRPr="002A1FDB">
        <w:rPr>
          <w:color w:val="000000" w:themeColor="text1"/>
        </w:rPr>
        <w:t>four volumes.</w:t>
      </w:r>
      <w:r w:rsidR="00AD473B" w:rsidRPr="002A1FDB">
        <w:rPr>
          <w:rStyle w:val="FootnoteReference"/>
          <w:color w:val="000000" w:themeColor="text1"/>
        </w:rPr>
        <w:footnoteReference w:id="15"/>
      </w:r>
      <w:r w:rsidR="00AC10EC" w:rsidRPr="002A1FDB">
        <w:rPr>
          <w:color w:val="000000" w:themeColor="text1"/>
        </w:rPr>
        <w:t xml:space="preserve"> </w:t>
      </w:r>
      <w:r w:rsidR="0054534F">
        <w:rPr>
          <w:color w:val="000000" w:themeColor="text1"/>
        </w:rPr>
        <w:t>Calvin</w:t>
      </w:r>
      <w:r w:rsidR="002C6654" w:rsidRPr="002A1FDB">
        <w:rPr>
          <w:color w:val="000000" w:themeColor="text1"/>
        </w:rPr>
        <w:t xml:space="preserve"> </w:t>
      </w:r>
      <w:r w:rsidR="00AD473B">
        <w:rPr>
          <w:color w:val="000000" w:themeColor="text1"/>
        </w:rPr>
        <w:t>also emphasizes</w:t>
      </w:r>
      <w:r w:rsidR="002C6654" w:rsidRPr="002A1FDB">
        <w:rPr>
          <w:color w:val="000000" w:themeColor="text1"/>
        </w:rPr>
        <w:t xml:space="preserve"> </w:t>
      </w:r>
      <w:r w:rsidR="0054534F">
        <w:rPr>
          <w:color w:val="000000" w:themeColor="text1"/>
        </w:rPr>
        <w:t xml:space="preserve">the </w:t>
      </w:r>
      <w:r w:rsidR="008E3200" w:rsidRPr="002A1FDB">
        <w:rPr>
          <w:color w:val="000000" w:themeColor="text1"/>
        </w:rPr>
        <w:t>practical consequence</w:t>
      </w:r>
      <w:r w:rsidR="004E2EE6" w:rsidRPr="002A1FDB">
        <w:rPr>
          <w:color w:val="000000" w:themeColor="text1"/>
        </w:rPr>
        <w:t>s</w:t>
      </w:r>
      <w:r w:rsidR="0054534F">
        <w:rPr>
          <w:color w:val="000000" w:themeColor="text1"/>
        </w:rPr>
        <w:t xml:space="preserve"> of predestination</w:t>
      </w:r>
      <w:r w:rsidR="00AC10EC">
        <w:rPr>
          <w:color w:val="000000" w:themeColor="text1"/>
        </w:rPr>
        <w:t>. I</w:t>
      </w:r>
      <w:r w:rsidR="004E2EE6" w:rsidRPr="002A1FDB">
        <w:rPr>
          <w:color w:val="000000" w:themeColor="text1"/>
        </w:rPr>
        <w:t>t</w:t>
      </w:r>
      <w:r w:rsidR="000F22B3" w:rsidRPr="002A1FDB">
        <w:rPr>
          <w:color w:val="000000" w:themeColor="text1"/>
        </w:rPr>
        <w:t xml:space="preserve"> </w:t>
      </w:r>
      <w:r w:rsidR="004E2EE6" w:rsidRPr="002A1FDB">
        <w:rPr>
          <w:color w:val="000000" w:themeColor="text1"/>
        </w:rPr>
        <w:t xml:space="preserve">removes </w:t>
      </w:r>
      <w:r w:rsidR="008E6204" w:rsidRPr="002A1FDB">
        <w:rPr>
          <w:color w:val="000000" w:themeColor="text1"/>
        </w:rPr>
        <w:t>from believer</w:t>
      </w:r>
      <w:r w:rsidR="00A07AEA">
        <w:rPr>
          <w:color w:val="000000" w:themeColor="text1"/>
        </w:rPr>
        <w:t>s</w:t>
      </w:r>
      <w:r w:rsidR="008E6204" w:rsidRPr="002A1FDB">
        <w:rPr>
          <w:color w:val="000000" w:themeColor="text1"/>
        </w:rPr>
        <w:t xml:space="preserve"> </w:t>
      </w:r>
      <w:r w:rsidR="00A32140" w:rsidRPr="002A1FDB">
        <w:rPr>
          <w:color w:val="000000" w:themeColor="text1"/>
        </w:rPr>
        <w:t xml:space="preserve">any </w:t>
      </w:r>
      <w:r w:rsidR="0054534F">
        <w:rPr>
          <w:color w:val="000000" w:themeColor="text1"/>
        </w:rPr>
        <w:t>grounds for self-congratulation</w:t>
      </w:r>
      <w:r w:rsidR="004E2EE6" w:rsidRPr="002A1FDB">
        <w:rPr>
          <w:color w:val="000000" w:themeColor="text1"/>
        </w:rPr>
        <w:t xml:space="preserve"> and</w:t>
      </w:r>
      <w:r w:rsidR="008E6204" w:rsidRPr="002A1FDB">
        <w:rPr>
          <w:color w:val="000000" w:themeColor="text1"/>
        </w:rPr>
        <w:t xml:space="preserve"> </w:t>
      </w:r>
      <w:r w:rsidR="0064267A" w:rsidRPr="002A1FDB">
        <w:rPr>
          <w:color w:val="000000" w:themeColor="text1"/>
        </w:rPr>
        <w:t>anchors</w:t>
      </w:r>
      <w:r w:rsidR="00A07AEA">
        <w:rPr>
          <w:color w:val="000000" w:themeColor="text1"/>
        </w:rPr>
        <w:t xml:space="preserve"> their</w:t>
      </w:r>
      <w:r w:rsidR="00A32140" w:rsidRPr="002A1FDB">
        <w:rPr>
          <w:color w:val="000000" w:themeColor="text1"/>
        </w:rPr>
        <w:t xml:space="preserve"> confidence in a </w:t>
      </w:r>
      <w:r w:rsidR="004D1FD6">
        <w:rPr>
          <w:color w:val="000000" w:themeColor="text1"/>
        </w:rPr>
        <w:t xml:space="preserve">greater </w:t>
      </w:r>
      <w:r w:rsidR="00A32140" w:rsidRPr="002A1FDB">
        <w:rPr>
          <w:color w:val="000000" w:themeColor="text1"/>
        </w:rPr>
        <w:t xml:space="preserve">source of </w:t>
      </w:r>
      <w:r w:rsidR="0064267A" w:rsidRPr="002A1FDB">
        <w:rPr>
          <w:color w:val="000000" w:themeColor="text1"/>
        </w:rPr>
        <w:t>security</w:t>
      </w:r>
      <w:r w:rsidR="00A32140" w:rsidRPr="002A1FDB">
        <w:rPr>
          <w:color w:val="000000" w:themeColor="text1"/>
        </w:rPr>
        <w:t xml:space="preserve"> than </w:t>
      </w:r>
      <w:r w:rsidR="00D55D4C">
        <w:rPr>
          <w:color w:val="000000" w:themeColor="text1"/>
        </w:rPr>
        <w:t>their</w:t>
      </w:r>
      <w:r w:rsidR="00A32140" w:rsidRPr="002A1FDB">
        <w:rPr>
          <w:color w:val="000000" w:themeColor="text1"/>
        </w:rPr>
        <w:t xml:space="preserve"> own accomplishments could ever provide</w:t>
      </w:r>
      <w:r w:rsidR="0054534F">
        <w:rPr>
          <w:color w:val="000000" w:themeColor="text1"/>
        </w:rPr>
        <w:t xml:space="preserve">—the </w:t>
      </w:r>
      <w:r w:rsidR="008E6204" w:rsidRPr="002A1FDB">
        <w:rPr>
          <w:color w:val="000000" w:themeColor="text1"/>
        </w:rPr>
        <w:t>divine will itself</w:t>
      </w:r>
      <w:r w:rsidR="00A32140" w:rsidRPr="002A1FDB">
        <w:rPr>
          <w:color w:val="000000" w:themeColor="text1"/>
        </w:rPr>
        <w:t>.</w:t>
      </w:r>
      <w:r w:rsidR="001B3D70" w:rsidRPr="002A1FDB">
        <w:rPr>
          <w:color w:val="000000" w:themeColor="text1"/>
        </w:rPr>
        <w:t xml:space="preserve"> Far from shaking faith, then, </w:t>
      </w:r>
      <w:r w:rsidR="00845F8F" w:rsidRPr="002A1FDB">
        <w:rPr>
          <w:color w:val="000000" w:themeColor="text1"/>
        </w:rPr>
        <w:t>predestination</w:t>
      </w:r>
      <w:r w:rsidR="001B3D70" w:rsidRPr="002A1FDB">
        <w:rPr>
          <w:color w:val="000000" w:themeColor="text1"/>
        </w:rPr>
        <w:t xml:space="preserve"> provides the best confirmation of it</w:t>
      </w:r>
      <w:r w:rsidR="008E6204" w:rsidRPr="002A1FDB">
        <w:rPr>
          <w:color w:val="000000" w:themeColor="text1"/>
        </w:rPr>
        <w:t>.</w:t>
      </w:r>
      <w:r w:rsidR="001B3D70" w:rsidRPr="002A1FDB">
        <w:rPr>
          <w:rStyle w:val="FootnoteReference"/>
          <w:color w:val="000000" w:themeColor="text1"/>
        </w:rPr>
        <w:footnoteReference w:id="16"/>
      </w:r>
      <w:r w:rsidR="00AD473B">
        <w:rPr>
          <w:color w:val="000000" w:themeColor="text1"/>
        </w:rPr>
        <w:t xml:space="preserve"> </w:t>
      </w:r>
      <w:r w:rsidR="0026575F">
        <w:rPr>
          <w:color w:val="000000" w:themeColor="text1"/>
        </w:rPr>
        <w:t>N</w:t>
      </w:r>
      <w:r w:rsidR="00F37954">
        <w:rPr>
          <w:color w:val="000000" w:themeColor="text1"/>
        </w:rPr>
        <w:t xml:space="preserve">othing grounds the assurance of our salvation more firmly than the knowledge that God has unilaterally, irresistibly, and </w:t>
      </w:r>
      <w:r w:rsidR="005248A2">
        <w:rPr>
          <w:color w:val="000000" w:themeColor="text1"/>
        </w:rPr>
        <w:t>irreversibly</w:t>
      </w:r>
      <w:r w:rsidR="00F37954">
        <w:rPr>
          <w:color w:val="000000" w:themeColor="text1"/>
        </w:rPr>
        <w:t xml:space="preserve"> place</w:t>
      </w:r>
      <w:r w:rsidR="005248A2">
        <w:rPr>
          <w:color w:val="000000" w:themeColor="text1"/>
        </w:rPr>
        <w:t>d</w:t>
      </w:r>
      <w:r w:rsidR="00F37954">
        <w:rPr>
          <w:color w:val="000000" w:themeColor="text1"/>
        </w:rPr>
        <w:t xml:space="preserve"> us among the company of the saved.</w:t>
      </w:r>
    </w:p>
    <w:p w14:paraId="3ED1974F" w14:textId="03C28E12" w:rsidR="00616DBA" w:rsidRDefault="00616DBA" w:rsidP="005C68BE">
      <w:pPr>
        <w:spacing w:after="120"/>
        <w:rPr>
          <w:color w:val="000000" w:themeColor="text1"/>
        </w:rPr>
      </w:pPr>
      <w:r w:rsidRPr="002A1FDB">
        <w:rPr>
          <w:color w:val="000000" w:themeColor="text1"/>
        </w:rPr>
        <w:t xml:space="preserve">These </w:t>
      </w:r>
      <w:r w:rsidR="004D1FD6">
        <w:rPr>
          <w:color w:val="000000" w:themeColor="text1"/>
        </w:rPr>
        <w:t xml:space="preserve">considerations, as well as </w:t>
      </w:r>
      <w:r w:rsidRPr="002A1FDB">
        <w:rPr>
          <w:color w:val="000000" w:themeColor="text1"/>
        </w:rPr>
        <w:t xml:space="preserve">the fact that </w:t>
      </w:r>
      <w:r w:rsidR="005E6641">
        <w:rPr>
          <w:color w:val="000000" w:themeColor="text1"/>
        </w:rPr>
        <w:t>he</w:t>
      </w:r>
      <w:r>
        <w:rPr>
          <w:color w:val="000000" w:themeColor="text1"/>
        </w:rPr>
        <w:t xml:space="preserve"> </w:t>
      </w:r>
      <w:r w:rsidRPr="002A1FDB">
        <w:rPr>
          <w:color w:val="000000" w:themeColor="text1"/>
        </w:rPr>
        <w:t>himself called the doctrine “horrible,”</w:t>
      </w:r>
      <w:r w:rsidR="007D4ADC" w:rsidRPr="002A1FDB">
        <w:rPr>
          <w:rStyle w:val="FootnoteReference"/>
          <w:color w:val="000000" w:themeColor="text1"/>
        </w:rPr>
        <w:footnoteReference w:id="17"/>
      </w:r>
      <w:r w:rsidR="007D4ADC" w:rsidRPr="002A1FDB">
        <w:rPr>
          <w:color w:val="000000" w:themeColor="text1"/>
        </w:rPr>
        <w:t xml:space="preserve"> </w:t>
      </w:r>
      <w:r w:rsidRPr="002A1FDB">
        <w:rPr>
          <w:color w:val="000000" w:themeColor="text1"/>
        </w:rPr>
        <w:t xml:space="preserve">suggest that </w:t>
      </w:r>
      <w:r w:rsidR="005E6641">
        <w:rPr>
          <w:color w:val="000000" w:themeColor="text1"/>
        </w:rPr>
        <w:t>we should view Calvin’s</w:t>
      </w:r>
      <w:r w:rsidRPr="002A1FDB">
        <w:rPr>
          <w:color w:val="000000" w:themeColor="text1"/>
        </w:rPr>
        <w:t xml:space="preserve"> concept of predestination </w:t>
      </w:r>
      <w:r w:rsidR="0026575F">
        <w:rPr>
          <w:color w:val="000000" w:themeColor="text1"/>
        </w:rPr>
        <w:t>as</w:t>
      </w:r>
      <w:r w:rsidR="005E6641">
        <w:rPr>
          <w:color w:val="000000" w:themeColor="text1"/>
        </w:rPr>
        <w:t xml:space="preserve"> </w:t>
      </w:r>
      <w:r w:rsidRPr="002A1FDB">
        <w:rPr>
          <w:color w:val="000000" w:themeColor="text1"/>
        </w:rPr>
        <w:t xml:space="preserve">a logical consequence </w:t>
      </w:r>
      <w:r w:rsidR="0026575F">
        <w:rPr>
          <w:color w:val="000000" w:themeColor="text1"/>
        </w:rPr>
        <w:t xml:space="preserve">or </w:t>
      </w:r>
      <w:r>
        <w:rPr>
          <w:color w:val="000000" w:themeColor="text1"/>
        </w:rPr>
        <w:t>subsidiary theme within</w:t>
      </w:r>
      <w:r w:rsidRPr="002A1FDB">
        <w:rPr>
          <w:color w:val="000000" w:themeColor="text1"/>
        </w:rPr>
        <w:t xml:space="preserve"> </w:t>
      </w:r>
      <w:r w:rsidR="005E6641">
        <w:rPr>
          <w:color w:val="000000" w:themeColor="text1"/>
        </w:rPr>
        <w:t>his</w:t>
      </w:r>
      <w:r>
        <w:rPr>
          <w:color w:val="000000" w:themeColor="text1"/>
        </w:rPr>
        <w:t xml:space="preserve"> theolog</w:t>
      </w:r>
      <w:r w:rsidR="005E6641">
        <w:rPr>
          <w:color w:val="000000" w:themeColor="text1"/>
        </w:rPr>
        <w:t xml:space="preserve">y </w:t>
      </w:r>
      <w:r>
        <w:rPr>
          <w:color w:val="000000" w:themeColor="text1"/>
        </w:rPr>
        <w:t xml:space="preserve">but not </w:t>
      </w:r>
      <w:r w:rsidR="0026575F">
        <w:rPr>
          <w:color w:val="000000" w:themeColor="text1"/>
        </w:rPr>
        <w:t xml:space="preserve">as </w:t>
      </w:r>
      <w:r>
        <w:rPr>
          <w:color w:val="000000" w:themeColor="text1"/>
        </w:rPr>
        <w:t>the</w:t>
      </w:r>
      <w:r w:rsidRPr="002A1FDB">
        <w:rPr>
          <w:color w:val="000000" w:themeColor="text1"/>
        </w:rPr>
        <w:t xml:space="preserve"> grounding principle of his thought.</w:t>
      </w:r>
      <w:r w:rsidR="00EF1534">
        <w:rPr>
          <w:rStyle w:val="FootnoteReference"/>
          <w:color w:val="000000" w:themeColor="text1"/>
        </w:rPr>
        <w:footnoteReference w:id="18"/>
      </w:r>
      <w:r w:rsidRPr="002A1FDB">
        <w:rPr>
          <w:color w:val="000000" w:themeColor="text1"/>
        </w:rPr>
        <w:t xml:space="preserve"> </w:t>
      </w:r>
    </w:p>
    <w:p w14:paraId="29AB23D9" w14:textId="16E38AC3" w:rsidR="002E2C4F" w:rsidRDefault="004D1FD6" w:rsidP="00B17420">
      <w:pPr>
        <w:spacing w:after="120"/>
        <w:rPr>
          <w:b/>
          <w:color w:val="000000" w:themeColor="text1"/>
        </w:rPr>
      </w:pPr>
      <w:r>
        <w:rPr>
          <w:color w:val="000000" w:themeColor="text1"/>
        </w:rPr>
        <w:t>T</w:t>
      </w:r>
      <w:r w:rsidR="005E6641">
        <w:rPr>
          <w:color w:val="000000" w:themeColor="text1"/>
        </w:rPr>
        <w:t>here</w:t>
      </w:r>
      <w:r w:rsidR="009814EE" w:rsidRPr="002A1FDB">
        <w:rPr>
          <w:color w:val="000000" w:themeColor="text1"/>
        </w:rPr>
        <w:t xml:space="preserve"> are</w:t>
      </w:r>
      <w:r w:rsidR="00660301" w:rsidRPr="002A1FDB">
        <w:rPr>
          <w:color w:val="000000" w:themeColor="text1"/>
        </w:rPr>
        <w:t xml:space="preserve"> Christians </w:t>
      </w:r>
      <w:r w:rsidR="009814EE" w:rsidRPr="002A1FDB">
        <w:rPr>
          <w:color w:val="000000" w:themeColor="text1"/>
        </w:rPr>
        <w:t>today who find</w:t>
      </w:r>
      <w:r w:rsidR="00660301" w:rsidRPr="002A1FDB">
        <w:rPr>
          <w:color w:val="000000" w:themeColor="text1"/>
        </w:rPr>
        <w:t xml:space="preserve"> </w:t>
      </w:r>
      <w:r w:rsidR="009814EE" w:rsidRPr="002A1FDB">
        <w:rPr>
          <w:color w:val="000000" w:themeColor="text1"/>
        </w:rPr>
        <w:t xml:space="preserve">in predestination the very </w:t>
      </w:r>
      <w:r w:rsidR="00660301" w:rsidRPr="002A1FDB">
        <w:rPr>
          <w:color w:val="000000" w:themeColor="text1"/>
        </w:rPr>
        <w:t xml:space="preserve">assurance of which </w:t>
      </w:r>
      <w:r w:rsidR="005C68BE">
        <w:rPr>
          <w:color w:val="000000" w:themeColor="text1"/>
        </w:rPr>
        <w:t>Calvin</w:t>
      </w:r>
      <w:r w:rsidR="00660301" w:rsidRPr="002A1FDB">
        <w:rPr>
          <w:color w:val="000000" w:themeColor="text1"/>
        </w:rPr>
        <w:t xml:space="preserve"> speaks and to which Luther’s experience bears witness. In an article that appeared in </w:t>
      </w:r>
      <w:r w:rsidR="00660301" w:rsidRPr="002A1FDB">
        <w:rPr>
          <w:i/>
          <w:color w:val="000000" w:themeColor="text1"/>
        </w:rPr>
        <w:t>Christianity Today</w:t>
      </w:r>
      <w:r w:rsidR="002C6654" w:rsidRPr="002A1FDB">
        <w:rPr>
          <w:color w:val="000000" w:themeColor="text1"/>
        </w:rPr>
        <w:t xml:space="preserve"> </w:t>
      </w:r>
      <w:r w:rsidR="005E6641">
        <w:rPr>
          <w:color w:val="000000" w:themeColor="text1"/>
        </w:rPr>
        <w:t>some</w:t>
      </w:r>
      <w:r w:rsidR="004D0EBA">
        <w:rPr>
          <w:color w:val="000000" w:themeColor="text1"/>
        </w:rPr>
        <w:t xml:space="preserve"> years ago,</w:t>
      </w:r>
      <w:r w:rsidR="00660301" w:rsidRPr="002A1FDB">
        <w:rPr>
          <w:color w:val="000000" w:themeColor="text1"/>
        </w:rPr>
        <w:t xml:space="preserve"> two </w:t>
      </w:r>
      <w:proofErr w:type="spellStart"/>
      <w:r w:rsidR="00660301" w:rsidRPr="002A1FDB">
        <w:rPr>
          <w:color w:val="000000" w:themeColor="text1"/>
        </w:rPr>
        <w:t>MDiv</w:t>
      </w:r>
      <w:proofErr w:type="spellEnd"/>
      <w:r w:rsidR="00660301" w:rsidRPr="002A1FDB">
        <w:rPr>
          <w:color w:val="000000" w:themeColor="text1"/>
        </w:rPr>
        <w:t xml:space="preserve"> students at Princeton Theological Seminary described their</w:t>
      </w:r>
      <w:r w:rsidR="002C6654" w:rsidRPr="002A1FDB">
        <w:rPr>
          <w:color w:val="000000" w:themeColor="text1"/>
        </w:rPr>
        <w:t xml:space="preserve"> respective</w:t>
      </w:r>
      <w:r w:rsidR="00660301" w:rsidRPr="002A1FDB">
        <w:rPr>
          <w:color w:val="000000" w:themeColor="text1"/>
        </w:rPr>
        <w:t xml:space="preserve"> journeys from different theological backgrounds</w:t>
      </w:r>
      <w:r w:rsidR="00187CD9" w:rsidRPr="002A1FDB">
        <w:rPr>
          <w:color w:val="000000" w:themeColor="text1"/>
        </w:rPr>
        <w:t>, through a series of reservations</w:t>
      </w:r>
      <w:r w:rsidR="002C6654" w:rsidRPr="002A1FDB">
        <w:rPr>
          <w:color w:val="000000" w:themeColor="text1"/>
        </w:rPr>
        <w:t xml:space="preserve"> about predestination</w:t>
      </w:r>
      <w:proofErr w:type="gramStart"/>
      <w:r w:rsidR="00187CD9" w:rsidRPr="002A1FDB">
        <w:rPr>
          <w:color w:val="000000" w:themeColor="text1"/>
        </w:rPr>
        <w:t>—“</w:t>
      </w:r>
      <w:proofErr w:type="gramEnd"/>
      <w:r w:rsidR="00187CD9" w:rsidRPr="002A1FDB">
        <w:rPr>
          <w:color w:val="000000" w:themeColor="text1"/>
        </w:rPr>
        <w:t>walls” they call them</w:t>
      </w:r>
      <w:r w:rsidR="00B45F7B">
        <w:rPr>
          <w:color w:val="000000" w:themeColor="text1"/>
        </w:rPr>
        <w:t xml:space="preserve">—to </w:t>
      </w:r>
      <w:r w:rsidR="00660301" w:rsidRPr="002A1FDB">
        <w:rPr>
          <w:color w:val="000000" w:themeColor="text1"/>
        </w:rPr>
        <w:t xml:space="preserve">an enthusiastic acceptance </w:t>
      </w:r>
      <w:r w:rsidR="002C6654" w:rsidRPr="002A1FDB">
        <w:rPr>
          <w:color w:val="000000" w:themeColor="text1"/>
        </w:rPr>
        <w:t>of the doctrine</w:t>
      </w:r>
      <w:r w:rsidR="00660301" w:rsidRPr="002A1FDB">
        <w:rPr>
          <w:color w:val="000000" w:themeColor="text1"/>
        </w:rPr>
        <w:t xml:space="preserve">. </w:t>
      </w:r>
      <w:r w:rsidR="002C6654" w:rsidRPr="002A1FDB">
        <w:rPr>
          <w:color w:val="000000" w:themeColor="text1"/>
        </w:rPr>
        <w:t>When that happened, they said,</w:t>
      </w:r>
      <w:r w:rsidR="005C5D08" w:rsidRPr="002A1FDB">
        <w:rPr>
          <w:color w:val="000000" w:themeColor="text1"/>
        </w:rPr>
        <w:t xml:space="preserve"> “the heavens broke open and predestination descended like a dove.” </w:t>
      </w:r>
      <w:r w:rsidR="00B45F7B">
        <w:rPr>
          <w:color w:val="000000" w:themeColor="text1"/>
        </w:rPr>
        <w:t>It</w:t>
      </w:r>
      <w:r w:rsidR="005C5D08" w:rsidRPr="002A1FDB">
        <w:rPr>
          <w:color w:val="000000" w:themeColor="text1"/>
        </w:rPr>
        <w:t xml:space="preserve"> “was the most freeing thing that had </w:t>
      </w:r>
      <w:r>
        <w:rPr>
          <w:color w:val="000000" w:themeColor="text1"/>
        </w:rPr>
        <w:t>ever happened to us spiritually,” they exclaimed.</w:t>
      </w:r>
      <w:r w:rsidR="005C5D08" w:rsidRPr="002A1FDB">
        <w:rPr>
          <w:color w:val="000000" w:themeColor="text1"/>
        </w:rPr>
        <w:t xml:space="preserve"> </w:t>
      </w:r>
      <w:r>
        <w:rPr>
          <w:color w:val="000000" w:themeColor="text1"/>
        </w:rPr>
        <w:t>“</w:t>
      </w:r>
      <w:r w:rsidR="005C5D08" w:rsidRPr="002A1FDB">
        <w:rPr>
          <w:color w:val="000000" w:themeColor="text1"/>
        </w:rPr>
        <w:t>We were free to be creatures again!” And “our intellectual adjustment to predestination has completely transfigured everything in our lives.”</w:t>
      </w:r>
      <w:r w:rsidR="005C5D08" w:rsidRPr="002A1FDB">
        <w:rPr>
          <w:rStyle w:val="FootnoteReference"/>
          <w:color w:val="000000" w:themeColor="text1"/>
        </w:rPr>
        <w:footnoteReference w:id="19"/>
      </w:r>
      <w:r w:rsidR="005C5D08" w:rsidRPr="002A1FDB">
        <w:rPr>
          <w:color w:val="000000" w:themeColor="text1"/>
        </w:rPr>
        <w:t xml:space="preserve"> </w:t>
      </w:r>
    </w:p>
    <w:p w14:paraId="03A3EB70" w14:textId="4A7D4A3A" w:rsidR="00EF1534" w:rsidRDefault="00EF1534" w:rsidP="00EF1534">
      <w:pPr>
        <w:spacing w:after="120"/>
        <w:rPr>
          <w:b/>
          <w:color w:val="000000" w:themeColor="text1"/>
        </w:rPr>
      </w:pPr>
      <w:r>
        <w:rPr>
          <w:b/>
          <w:color w:val="000000" w:themeColor="text1"/>
        </w:rPr>
        <w:t>Questions about predestination</w:t>
      </w:r>
    </w:p>
    <w:p w14:paraId="53E54DD9" w14:textId="77777777" w:rsidR="00ED3797" w:rsidRDefault="00B45F7B" w:rsidP="005C68BE">
      <w:pPr>
        <w:spacing w:after="120"/>
        <w:rPr>
          <w:color w:val="000000" w:themeColor="text1"/>
        </w:rPr>
      </w:pPr>
      <w:r>
        <w:rPr>
          <w:color w:val="000000" w:themeColor="text1"/>
        </w:rPr>
        <w:t xml:space="preserve">Whatever its positive personal consequences, </w:t>
      </w:r>
      <w:r w:rsidR="00EE5A42" w:rsidRPr="002A1FDB">
        <w:rPr>
          <w:color w:val="000000" w:themeColor="text1"/>
        </w:rPr>
        <w:t xml:space="preserve">predestination raises a number of </w:t>
      </w:r>
      <w:r w:rsidR="007E7967" w:rsidRPr="002A1FDB">
        <w:rPr>
          <w:color w:val="000000" w:themeColor="text1"/>
        </w:rPr>
        <w:t>“great and difficult”</w:t>
      </w:r>
      <w:r w:rsidR="00EE5A42" w:rsidRPr="002A1FDB">
        <w:rPr>
          <w:color w:val="000000" w:themeColor="text1"/>
        </w:rPr>
        <w:t xml:space="preserve"> questions</w:t>
      </w:r>
      <w:r>
        <w:rPr>
          <w:color w:val="000000" w:themeColor="text1"/>
        </w:rPr>
        <w:t xml:space="preserve">, as </w:t>
      </w:r>
      <w:r w:rsidR="00232846">
        <w:rPr>
          <w:color w:val="000000" w:themeColor="text1"/>
        </w:rPr>
        <w:t xml:space="preserve">Calvin </w:t>
      </w:r>
      <w:r w:rsidR="003D40C5">
        <w:rPr>
          <w:color w:val="000000" w:themeColor="text1"/>
        </w:rPr>
        <w:t xml:space="preserve">himself </w:t>
      </w:r>
      <w:r>
        <w:rPr>
          <w:color w:val="000000" w:themeColor="text1"/>
        </w:rPr>
        <w:t>noted</w:t>
      </w:r>
      <w:r w:rsidR="00FF1C38" w:rsidRPr="002A1FDB">
        <w:rPr>
          <w:color w:val="000000" w:themeColor="text1"/>
        </w:rPr>
        <w:t>.</w:t>
      </w:r>
      <w:r w:rsidR="00537DB0" w:rsidRPr="002A1FDB">
        <w:rPr>
          <w:color w:val="000000" w:themeColor="text1"/>
        </w:rPr>
        <w:t xml:space="preserve"> </w:t>
      </w:r>
      <w:r w:rsidR="00870EA2" w:rsidRPr="002A1FDB">
        <w:rPr>
          <w:color w:val="000000" w:themeColor="text1"/>
        </w:rPr>
        <w:t xml:space="preserve">If God’s will </w:t>
      </w:r>
      <w:proofErr w:type="gramStart"/>
      <w:r w:rsidR="00870EA2" w:rsidRPr="002A1FDB">
        <w:rPr>
          <w:color w:val="000000" w:themeColor="text1"/>
        </w:rPr>
        <w:t>is</w:t>
      </w:r>
      <w:proofErr w:type="gramEnd"/>
      <w:r w:rsidR="00870EA2" w:rsidRPr="002A1FDB">
        <w:rPr>
          <w:color w:val="000000" w:themeColor="text1"/>
        </w:rPr>
        <w:t xml:space="preserve"> the sole factor that accounts for who is saved and who is lost, what is the point of preaching the gospel? And if the basis of our salvation has nothing whatever to do with our own activity, why should we have any interest in godly living? But the most pressing question concerns God’s responsibility for evil. If, in fact, God’s will </w:t>
      </w:r>
      <w:proofErr w:type="gramStart"/>
      <w:r w:rsidR="00870EA2" w:rsidRPr="002A1FDB">
        <w:rPr>
          <w:color w:val="000000" w:themeColor="text1"/>
        </w:rPr>
        <w:t>is</w:t>
      </w:r>
      <w:proofErr w:type="gramEnd"/>
      <w:r w:rsidR="00870EA2" w:rsidRPr="002A1FDB">
        <w:rPr>
          <w:color w:val="000000" w:themeColor="text1"/>
        </w:rPr>
        <w:t xml:space="preserve"> the ultimate explanation for everything that happens, </w:t>
      </w:r>
      <w:r w:rsidR="005E1EDE" w:rsidRPr="002A1FDB">
        <w:rPr>
          <w:color w:val="000000" w:themeColor="text1"/>
        </w:rPr>
        <w:t xml:space="preserve">the damnation of the wicked </w:t>
      </w:r>
      <w:r w:rsidR="005E1EDE" w:rsidRPr="002A1FDB">
        <w:rPr>
          <w:color w:val="000000" w:themeColor="text1"/>
        </w:rPr>
        <w:lastRenderedPageBreak/>
        <w:t>as well as the salvation of the saints,</w:t>
      </w:r>
      <w:r w:rsidR="00E94E47">
        <w:rPr>
          <w:color w:val="000000" w:themeColor="text1"/>
        </w:rPr>
        <w:t xml:space="preserve"> doesn’t </w:t>
      </w:r>
      <w:r w:rsidR="00FA241B">
        <w:rPr>
          <w:color w:val="000000" w:themeColor="text1"/>
        </w:rPr>
        <w:t xml:space="preserve">it follow </w:t>
      </w:r>
      <w:r w:rsidR="00E94E47">
        <w:rPr>
          <w:color w:val="000000" w:themeColor="text1"/>
        </w:rPr>
        <w:t xml:space="preserve">that </w:t>
      </w:r>
      <w:r w:rsidR="00870EA2" w:rsidRPr="002A1FDB">
        <w:rPr>
          <w:color w:val="000000" w:themeColor="text1"/>
        </w:rPr>
        <w:t xml:space="preserve">God </w:t>
      </w:r>
      <w:r w:rsidR="00FA241B">
        <w:rPr>
          <w:color w:val="000000" w:themeColor="text1"/>
        </w:rPr>
        <w:t xml:space="preserve">is </w:t>
      </w:r>
      <w:r w:rsidR="00E94E47">
        <w:rPr>
          <w:color w:val="000000" w:themeColor="text1"/>
        </w:rPr>
        <w:t xml:space="preserve">responsible </w:t>
      </w:r>
      <w:r w:rsidR="008E0309">
        <w:rPr>
          <w:color w:val="000000" w:themeColor="text1"/>
        </w:rPr>
        <w:t xml:space="preserve">for </w:t>
      </w:r>
      <w:r w:rsidR="005E1EDE" w:rsidRPr="002A1FDB">
        <w:rPr>
          <w:color w:val="000000" w:themeColor="text1"/>
        </w:rPr>
        <w:t>sin and all its consequences</w:t>
      </w:r>
      <w:r w:rsidR="00F34B5E">
        <w:rPr>
          <w:color w:val="000000" w:themeColor="text1"/>
        </w:rPr>
        <w:t>?</w:t>
      </w:r>
    </w:p>
    <w:p w14:paraId="3B36D587" w14:textId="57FFDC54" w:rsidR="005671DD" w:rsidRPr="002A1FDB" w:rsidRDefault="00F34B5E" w:rsidP="005C68BE">
      <w:pPr>
        <w:spacing w:after="120"/>
        <w:rPr>
          <w:color w:val="000000" w:themeColor="text1"/>
        </w:rPr>
      </w:pPr>
      <w:r>
        <w:rPr>
          <w:color w:val="000000" w:themeColor="text1"/>
        </w:rPr>
        <w:t>No,</w:t>
      </w:r>
      <w:r w:rsidR="00CD3D9D" w:rsidRPr="002A1FDB">
        <w:rPr>
          <w:color w:val="000000" w:themeColor="text1"/>
        </w:rPr>
        <w:t xml:space="preserve"> </w:t>
      </w:r>
      <w:r w:rsidR="00C9503A">
        <w:rPr>
          <w:color w:val="000000" w:themeColor="text1"/>
        </w:rPr>
        <w:t xml:space="preserve">Calvin </w:t>
      </w:r>
      <w:r w:rsidR="00CD3D9D" w:rsidRPr="002A1FDB">
        <w:rPr>
          <w:color w:val="000000" w:themeColor="text1"/>
        </w:rPr>
        <w:t xml:space="preserve">argues, </w:t>
      </w:r>
      <w:r>
        <w:rPr>
          <w:color w:val="000000" w:themeColor="text1"/>
        </w:rPr>
        <w:t xml:space="preserve">the wicked </w:t>
      </w:r>
      <w:r w:rsidR="00CD3D9D" w:rsidRPr="002A1FDB">
        <w:rPr>
          <w:color w:val="000000" w:themeColor="text1"/>
        </w:rPr>
        <w:t>ar</w:t>
      </w:r>
      <w:r w:rsidR="006A19A0" w:rsidRPr="002A1FDB">
        <w:rPr>
          <w:color w:val="000000" w:themeColor="text1"/>
        </w:rPr>
        <w:t>e themselves the cause of their</w:t>
      </w:r>
      <w:r w:rsidR="00CD3D9D" w:rsidRPr="002A1FDB">
        <w:rPr>
          <w:color w:val="000000" w:themeColor="text1"/>
        </w:rPr>
        <w:t xml:space="preserve"> condemnation.</w:t>
      </w:r>
      <w:r w:rsidR="00CD3D9D" w:rsidRPr="002A1FDB">
        <w:rPr>
          <w:rStyle w:val="FootnoteReference"/>
          <w:color w:val="000000" w:themeColor="text1"/>
        </w:rPr>
        <w:footnoteReference w:id="20"/>
      </w:r>
      <w:r w:rsidR="00CD3D9D" w:rsidRPr="002A1FDB">
        <w:rPr>
          <w:color w:val="000000" w:themeColor="text1"/>
        </w:rPr>
        <w:t xml:space="preserve"> </w:t>
      </w:r>
      <w:r w:rsidR="000E2F1C" w:rsidRPr="002A1FDB">
        <w:rPr>
          <w:color w:val="000000" w:themeColor="text1"/>
        </w:rPr>
        <w:t>They are “hateful to God with perfect justice,”</w:t>
      </w:r>
      <w:r w:rsidR="000E2F1C" w:rsidRPr="002A1FDB">
        <w:rPr>
          <w:rStyle w:val="FootnoteReference"/>
          <w:color w:val="000000" w:themeColor="text1"/>
        </w:rPr>
        <w:footnoteReference w:id="21"/>
      </w:r>
      <w:r w:rsidR="000E2F1C" w:rsidRPr="002A1FDB">
        <w:rPr>
          <w:color w:val="000000" w:themeColor="text1"/>
        </w:rPr>
        <w:t xml:space="preserve"> and “every evil which they bear is inflicted by the most just judgment of God.”</w:t>
      </w:r>
      <w:r w:rsidR="000E2F1C" w:rsidRPr="002A1FDB">
        <w:rPr>
          <w:rStyle w:val="FootnoteReference"/>
          <w:color w:val="000000" w:themeColor="text1"/>
        </w:rPr>
        <w:footnoteReference w:id="22"/>
      </w:r>
      <w:r w:rsidR="000E2F1C" w:rsidRPr="002A1FDB">
        <w:rPr>
          <w:color w:val="000000" w:themeColor="text1"/>
        </w:rPr>
        <w:t xml:space="preserve"> </w:t>
      </w:r>
      <w:r w:rsidR="00CD3D9D" w:rsidRPr="002A1FDB">
        <w:rPr>
          <w:color w:val="000000" w:themeColor="text1"/>
        </w:rPr>
        <w:t>So, even though their perdition depends upon predestination, “the cause and matter of it is in themselves.”</w:t>
      </w:r>
      <w:r w:rsidR="006A19A0" w:rsidRPr="002A1FDB">
        <w:rPr>
          <w:color w:val="000000" w:themeColor="text1"/>
        </w:rPr>
        <w:t xml:space="preserve"> </w:t>
      </w:r>
      <w:r w:rsidR="00CD3D9D" w:rsidRPr="002A1FDB">
        <w:rPr>
          <w:rStyle w:val="FootnoteReference"/>
          <w:color w:val="000000" w:themeColor="text1"/>
        </w:rPr>
        <w:footnoteReference w:id="23"/>
      </w:r>
      <w:r w:rsidR="006A19A0" w:rsidRPr="002A1FDB">
        <w:rPr>
          <w:color w:val="000000" w:themeColor="text1"/>
        </w:rPr>
        <w:t xml:space="preserve"> </w:t>
      </w:r>
      <w:r w:rsidR="00FA241B">
        <w:rPr>
          <w:color w:val="000000" w:themeColor="text1"/>
        </w:rPr>
        <w:t xml:space="preserve">This does not </w:t>
      </w:r>
      <w:r w:rsidR="001A705D" w:rsidRPr="002A1FDB">
        <w:rPr>
          <w:color w:val="000000" w:themeColor="text1"/>
        </w:rPr>
        <w:t>prevent God’s being merciful to some</w:t>
      </w:r>
      <w:r w:rsidR="00FA241B">
        <w:rPr>
          <w:color w:val="000000" w:themeColor="text1"/>
        </w:rPr>
        <w:t>, however, a</w:t>
      </w:r>
      <w:r w:rsidR="001A705D" w:rsidRPr="002A1FDB">
        <w:rPr>
          <w:color w:val="000000" w:themeColor="text1"/>
        </w:rPr>
        <w:t xml:space="preserve">nd if we wonder why God is not merciful to all, </w:t>
      </w:r>
      <w:r w:rsidR="00C9503A">
        <w:rPr>
          <w:color w:val="000000" w:themeColor="text1"/>
        </w:rPr>
        <w:t xml:space="preserve">Calvin </w:t>
      </w:r>
      <w:r w:rsidR="001A705D" w:rsidRPr="002A1FDB">
        <w:rPr>
          <w:color w:val="000000" w:themeColor="text1"/>
        </w:rPr>
        <w:t xml:space="preserve">offers this famous response: “In giving to some what they do not merit, he shows his free </w:t>
      </w:r>
      <w:proofErr w:type="spellStart"/>
      <w:r w:rsidR="001A705D" w:rsidRPr="002A1FDB">
        <w:rPr>
          <w:color w:val="000000" w:themeColor="text1"/>
        </w:rPr>
        <w:t>favour</w:t>
      </w:r>
      <w:proofErr w:type="spellEnd"/>
      <w:r w:rsidR="001A705D" w:rsidRPr="002A1FDB">
        <w:rPr>
          <w:color w:val="000000" w:themeColor="text1"/>
        </w:rPr>
        <w:t>; in not giving to all he declares what all deserve.”</w:t>
      </w:r>
      <w:r w:rsidR="001A705D" w:rsidRPr="002A1FDB">
        <w:rPr>
          <w:rStyle w:val="FootnoteReference"/>
          <w:color w:val="000000" w:themeColor="text1"/>
        </w:rPr>
        <w:footnoteReference w:id="24"/>
      </w:r>
      <w:r w:rsidR="001A705D" w:rsidRPr="002A1FDB">
        <w:rPr>
          <w:color w:val="000000" w:themeColor="text1"/>
        </w:rPr>
        <w:t xml:space="preserve"> </w:t>
      </w:r>
    </w:p>
    <w:p w14:paraId="09403D94" w14:textId="0402079C" w:rsidR="00232846" w:rsidRPr="000D6B52" w:rsidRDefault="008C544D" w:rsidP="005C68BE">
      <w:pPr>
        <w:spacing w:after="120"/>
        <w:rPr>
          <w:color w:val="000000" w:themeColor="text1"/>
        </w:rPr>
      </w:pPr>
      <w:r>
        <w:rPr>
          <w:color w:val="000000" w:themeColor="text1"/>
        </w:rPr>
        <w:t xml:space="preserve">Despite such explanations, the great Reformers’ concept of </w:t>
      </w:r>
      <w:r w:rsidR="0007336E" w:rsidRPr="00DB35C1">
        <w:rPr>
          <w:color w:val="000000" w:themeColor="text1"/>
        </w:rPr>
        <w:t xml:space="preserve">God’s unilateral salvific activity </w:t>
      </w:r>
      <w:r>
        <w:rPr>
          <w:color w:val="000000" w:themeColor="text1"/>
        </w:rPr>
        <w:t xml:space="preserve">continued to raise </w:t>
      </w:r>
      <w:r w:rsidR="0007336E" w:rsidRPr="00DB35C1">
        <w:rPr>
          <w:color w:val="000000" w:themeColor="text1"/>
        </w:rPr>
        <w:t>questions about the human role in the experience of salvation</w:t>
      </w:r>
      <w:r w:rsidR="008F1910" w:rsidRPr="00DB35C1">
        <w:rPr>
          <w:color w:val="000000" w:themeColor="text1"/>
        </w:rPr>
        <w:t>. One of t</w:t>
      </w:r>
      <w:r w:rsidR="0007336E" w:rsidRPr="00DB35C1">
        <w:rPr>
          <w:color w:val="000000" w:themeColor="text1"/>
        </w:rPr>
        <w:t xml:space="preserve">he </w:t>
      </w:r>
      <w:proofErr w:type="gramStart"/>
      <w:r w:rsidR="00DB35C1">
        <w:rPr>
          <w:color w:val="000000" w:themeColor="text1"/>
        </w:rPr>
        <w:t xml:space="preserve">best </w:t>
      </w:r>
      <w:r w:rsidR="00D65A6C" w:rsidRPr="00DB35C1">
        <w:rPr>
          <w:color w:val="000000" w:themeColor="text1"/>
        </w:rPr>
        <w:t>known</w:t>
      </w:r>
      <w:proofErr w:type="gramEnd"/>
      <w:r w:rsidR="00D65A6C" w:rsidRPr="00DB35C1">
        <w:rPr>
          <w:color w:val="000000" w:themeColor="text1"/>
        </w:rPr>
        <w:t xml:space="preserve"> </w:t>
      </w:r>
      <w:r w:rsidR="008F1910" w:rsidRPr="00DB35C1">
        <w:rPr>
          <w:color w:val="000000" w:themeColor="text1"/>
        </w:rPr>
        <w:t xml:space="preserve">figures </w:t>
      </w:r>
      <w:r w:rsidR="0007336E" w:rsidRPr="00DB35C1">
        <w:rPr>
          <w:color w:val="000000" w:themeColor="text1"/>
        </w:rPr>
        <w:t>to ponder them was Jacobus Arminius</w:t>
      </w:r>
      <w:r w:rsidR="00B07619" w:rsidRPr="00DB35C1">
        <w:rPr>
          <w:color w:val="000000" w:themeColor="text1"/>
        </w:rPr>
        <w:t xml:space="preserve"> </w:t>
      </w:r>
      <w:r w:rsidR="00B07619" w:rsidRPr="00DB35C1">
        <w:rPr>
          <w:bCs/>
        </w:rPr>
        <w:t>(1560-1609)</w:t>
      </w:r>
      <w:r w:rsidR="0007336E" w:rsidRPr="00DB35C1">
        <w:rPr>
          <w:color w:val="000000" w:themeColor="text1"/>
        </w:rPr>
        <w:t>, a Dutch theologian of the 1</w:t>
      </w:r>
      <w:r w:rsidR="00F924F4" w:rsidRPr="00DB35C1">
        <w:rPr>
          <w:color w:val="000000" w:themeColor="text1"/>
        </w:rPr>
        <w:t>6</w:t>
      </w:r>
      <w:r w:rsidR="0007336E" w:rsidRPr="00DB35C1">
        <w:rPr>
          <w:color w:val="000000" w:themeColor="text1"/>
          <w:vertAlign w:val="superscript"/>
        </w:rPr>
        <w:t>th</w:t>
      </w:r>
      <w:r w:rsidR="0007336E" w:rsidRPr="00DB35C1">
        <w:rPr>
          <w:color w:val="000000" w:themeColor="text1"/>
        </w:rPr>
        <w:t xml:space="preserve"> </w:t>
      </w:r>
      <w:r w:rsidR="00D868F7" w:rsidRPr="00DB35C1">
        <w:rPr>
          <w:color w:val="000000" w:themeColor="text1"/>
        </w:rPr>
        <w:t>century, who found the doctrine of predestination too harsh because it did not provide a place for human free will in the process of salvation.</w:t>
      </w:r>
      <w:r w:rsidR="00D868F7" w:rsidRPr="00DB35C1">
        <w:rPr>
          <w:rStyle w:val="FootnoteReference"/>
          <w:color w:val="000000" w:themeColor="text1"/>
        </w:rPr>
        <w:footnoteReference w:id="25"/>
      </w:r>
      <w:r w:rsidR="00D868F7" w:rsidRPr="00DB35C1">
        <w:rPr>
          <w:color w:val="000000" w:themeColor="text1"/>
        </w:rPr>
        <w:t xml:space="preserve"> </w:t>
      </w:r>
      <w:r w:rsidR="00B07619" w:rsidRPr="00FB5902">
        <w:rPr>
          <w:bCs/>
        </w:rPr>
        <w:t xml:space="preserve">In reaction, Arminius </w:t>
      </w:r>
      <w:r w:rsidR="008C581E">
        <w:rPr>
          <w:bCs/>
        </w:rPr>
        <w:t>held</w:t>
      </w:r>
      <w:r w:rsidR="00B07619" w:rsidRPr="00FB5902">
        <w:rPr>
          <w:bCs/>
        </w:rPr>
        <w:t xml:space="preserve"> that o</w:t>
      </w:r>
      <w:r w:rsidR="00B07619">
        <w:rPr>
          <w:bCs/>
        </w:rPr>
        <w:t>ne’s personal salvation depends</w:t>
      </w:r>
      <w:r w:rsidR="00B07619" w:rsidRPr="00FB5902">
        <w:rPr>
          <w:bCs/>
        </w:rPr>
        <w:t xml:space="preserve"> not solely on God’s gracious call, but </w:t>
      </w:r>
      <w:r w:rsidR="00B07619">
        <w:rPr>
          <w:bCs/>
        </w:rPr>
        <w:t>on one’s</w:t>
      </w:r>
      <w:r w:rsidR="00B07619" w:rsidRPr="00FB5902">
        <w:rPr>
          <w:bCs/>
        </w:rPr>
        <w:t xml:space="preserve"> positive response to God’s invitation. </w:t>
      </w:r>
      <w:r w:rsidR="004D1FD6">
        <w:rPr>
          <w:bCs/>
        </w:rPr>
        <w:t xml:space="preserve">We are free </w:t>
      </w:r>
      <w:r w:rsidR="004D1FD6" w:rsidRPr="00FB5902">
        <w:rPr>
          <w:bCs/>
        </w:rPr>
        <w:t>to acc</w:t>
      </w:r>
      <w:r>
        <w:rPr>
          <w:bCs/>
        </w:rPr>
        <w:t>ept or reject God’s invitation</w:t>
      </w:r>
      <w:r w:rsidR="00EB11BD">
        <w:rPr>
          <w:bCs/>
        </w:rPr>
        <w:t>, he maintained</w:t>
      </w:r>
      <w:r w:rsidR="004D1FD6">
        <w:rPr>
          <w:bCs/>
        </w:rPr>
        <w:t xml:space="preserve">. </w:t>
      </w:r>
      <w:r w:rsidR="00EB11BD" w:rsidRPr="00FB5902">
        <w:rPr>
          <w:bCs/>
        </w:rPr>
        <w:t xml:space="preserve">God’s will </w:t>
      </w:r>
      <w:proofErr w:type="gramStart"/>
      <w:r w:rsidR="00EB11BD" w:rsidRPr="00FB5902">
        <w:rPr>
          <w:bCs/>
        </w:rPr>
        <w:t>is</w:t>
      </w:r>
      <w:proofErr w:type="gramEnd"/>
      <w:r w:rsidR="00EB11BD" w:rsidRPr="00FB5902">
        <w:rPr>
          <w:bCs/>
        </w:rPr>
        <w:t xml:space="preserve"> not all-determining</w:t>
      </w:r>
      <w:r w:rsidR="00EB11BD">
        <w:rPr>
          <w:bCs/>
        </w:rPr>
        <w:t>.</w:t>
      </w:r>
    </w:p>
    <w:p w14:paraId="4975385D" w14:textId="5CEA8EA9" w:rsidR="007F3A44" w:rsidRPr="002A1FDB" w:rsidRDefault="007F3A44" w:rsidP="007F3A44">
      <w:pPr>
        <w:spacing w:before="120" w:after="120"/>
        <w:rPr>
          <w:rFonts w:cs="Times New Roman"/>
          <w:color w:val="000000" w:themeColor="text1"/>
        </w:rPr>
      </w:pPr>
      <w:r w:rsidRPr="002A1FDB">
        <w:rPr>
          <w:rFonts w:cs="Times New Roman"/>
          <w:color w:val="000000" w:themeColor="text1"/>
        </w:rPr>
        <w:t xml:space="preserve">Early in 1610 a group of 48 preachers and teachers met in The Hague to formulate their views on disputed doctrines. </w:t>
      </w:r>
      <w:r>
        <w:rPr>
          <w:rFonts w:cs="Times New Roman"/>
          <w:color w:val="000000" w:themeColor="text1"/>
        </w:rPr>
        <w:t xml:space="preserve">According to the </w:t>
      </w:r>
      <w:r w:rsidRPr="002A1FDB">
        <w:rPr>
          <w:rFonts w:cs="Times New Roman"/>
          <w:color w:val="000000" w:themeColor="text1"/>
        </w:rPr>
        <w:t xml:space="preserve">“five articles of remonstrance” </w:t>
      </w:r>
      <w:r>
        <w:rPr>
          <w:rFonts w:cs="Times New Roman"/>
          <w:color w:val="000000" w:themeColor="text1"/>
        </w:rPr>
        <w:t xml:space="preserve">they drew up, </w:t>
      </w:r>
      <w:r w:rsidRPr="002A1FDB">
        <w:rPr>
          <w:rFonts w:cs="Times New Roman"/>
          <w:color w:val="000000" w:themeColor="text1"/>
        </w:rPr>
        <w:t>election is </w:t>
      </w:r>
      <w:hyperlink r:id="rId7" w:tooltip="Conditional election" w:history="1">
        <w:r w:rsidRPr="002A1FDB">
          <w:rPr>
            <w:rFonts w:cs="Times New Roman"/>
            <w:color w:val="000000" w:themeColor="text1"/>
          </w:rPr>
          <w:t>conditional</w:t>
        </w:r>
      </w:hyperlink>
      <w:r w:rsidRPr="002A1FDB">
        <w:rPr>
          <w:rFonts w:cs="Times New Roman"/>
          <w:color w:val="000000" w:themeColor="text1"/>
        </w:rPr>
        <w:t> upon faith in Christ, Christ died for all</w:t>
      </w:r>
      <w:r>
        <w:rPr>
          <w:rFonts w:cs="Times New Roman"/>
          <w:color w:val="000000" w:themeColor="text1"/>
        </w:rPr>
        <w:t xml:space="preserve">, because of </w:t>
      </w:r>
      <w:hyperlink r:id="rId8" w:tooltip="Total depravity" w:history="1">
        <w:r w:rsidRPr="002A1FDB">
          <w:rPr>
            <w:rFonts w:cs="Times New Roman"/>
            <w:color w:val="000000" w:themeColor="text1"/>
          </w:rPr>
          <w:t>total depravity</w:t>
        </w:r>
      </w:hyperlink>
      <w:r w:rsidRPr="002A1FDB">
        <w:rPr>
          <w:rFonts w:cs="Times New Roman"/>
          <w:color w:val="000000" w:themeColor="text1"/>
        </w:rPr>
        <w:t> </w:t>
      </w:r>
      <w:r>
        <w:rPr>
          <w:rFonts w:cs="Times New Roman"/>
          <w:color w:val="000000" w:themeColor="text1"/>
        </w:rPr>
        <w:t>human beings</w:t>
      </w:r>
      <w:r w:rsidRPr="002A1FDB">
        <w:rPr>
          <w:rFonts w:cs="Times New Roman"/>
          <w:color w:val="000000" w:themeColor="text1"/>
        </w:rPr>
        <w:t xml:space="preserve"> cannot save </w:t>
      </w:r>
      <w:r>
        <w:rPr>
          <w:rFonts w:cs="Times New Roman"/>
          <w:color w:val="000000" w:themeColor="text1"/>
        </w:rPr>
        <w:t>themselves, human beings have</w:t>
      </w:r>
      <w:r w:rsidRPr="002A1FDB">
        <w:rPr>
          <w:rFonts w:cs="Times New Roman"/>
          <w:color w:val="000000" w:themeColor="text1"/>
        </w:rPr>
        <w:t xml:space="preserve"> the </w:t>
      </w:r>
      <w:hyperlink r:id="rId9" w:tooltip="Free will in theology" w:history="1">
        <w:r w:rsidRPr="002A1FDB">
          <w:rPr>
            <w:rFonts w:cs="Times New Roman"/>
            <w:color w:val="000000" w:themeColor="text1"/>
          </w:rPr>
          <w:t>free will</w:t>
        </w:r>
      </w:hyperlink>
      <w:r w:rsidRPr="002A1FDB">
        <w:rPr>
          <w:rFonts w:cs="Times New Roman"/>
          <w:color w:val="000000" w:themeColor="text1"/>
        </w:rPr>
        <w:t> to </w:t>
      </w:r>
      <w:hyperlink r:id="rId10" w:tooltip="Prevenient grace" w:history="1">
        <w:r w:rsidRPr="002A1FDB">
          <w:rPr>
            <w:rFonts w:cs="Times New Roman"/>
            <w:color w:val="000000" w:themeColor="text1"/>
          </w:rPr>
          <w:t>resist</w:t>
        </w:r>
      </w:hyperlink>
      <w:r w:rsidRPr="002A1FDB">
        <w:rPr>
          <w:rFonts w:cs="Times New Roman"/>
          <w:color w:val="000000" w:themeColor="text1"/>
        </w:rPr>
        <w:t xml:space="preserve"> God's </w:t>
      </w:r>
      <w:hyperlink r:id="rId11" w:tooltip="Divine grace" w:history="1">
        <w:r w:rsidRPr="002A1FDB">
          <w:rPr>
            <w:rFonts w:cs="Times New Roman"/>
            <w:color w:val="000000" w:themeColor="text1"/>
          </w:rPr>
          <w:t>grace</w:t>
        </w:r>
      </w:hyperlink>
      <w:r>
        <w:rPr>
          <w:rFonts w:cs="Times New Roman"/>
          <w:color w:val="000000" w:themeColor="text1"/>
        </w:rPr>
        <w:t xml:space="preserve">, and </w:t>
      </w:r>
      <w:r w:rsidRPr="002A1FDB">
        <w:rPr>
          <w:rFonts w:cs="Times New Roman"/>
          <w:color w:val="000000" w:themeColor="text1"/>
        </w:rPr>
        <w:t>the perseverance of the saints may be </w:t>
      </w:r>
      <w:hyperlink r:id="rId12" w:tooltip="Conditional preservation of the saints" w:history="1">
        <w:r w:rsidRPr="002A1FDB">
          <w:rPr>
            <w:rFonts w:cs="Times New Roman"/>
            <w:color w:val="000000" w:themeColor="text1"/>
          </w:rPr>
          <w:t>conditional</w:t>
        </w:r>
      </w:hyperlink>
      <w:r w:rsidRPr="002A1FDB">
        <w:rPr>
          <w:rFonts w:cs="Times New Roman"/>
          <w:color w:val="000000" w:themeColor="text1"/>
        </w:rPr>
        <w:t> upon the believer remaining in Christ</w:t>
      </w:r>
      <w:r>
        <w:rPr>
          <w:rFonts w:cs="Times New Roman"/>
          <w:color w:val="000000" w:themeColor="text1"/>
        </w:rPr>
        <w:t>.</w:t>
      </w:r>
      <w:r w:rsidRPr="002A1FDB">
        <w:rPr>
          <w:rStyle w:val="FootnoteReference"/>
          <w:rFonts w:cs="Times New Roman"/>
          <w:color w:val="000000" w:themeColor="text1"/>
        </w:rPr>
        <w:footnoteReference w:id="26"/>
      </w:r>
      <w:r w:rsidRPr="002A1FDB">
        <w:rPr>
          <w:rFonts w:cs="Times New Roman"/>
          <w:color w:val="000000" w:themeColor="text1"/>
        </w:rPr>
        <w:t> </w:t>
      </w:r>
    </w:p>
    <w:p w14:paraId="6F4A2F72" w14:textId="26A03783" w:rsidR="007F3A44" w:rsidRPr="002A1FDB" w:rsidRDefault="007F3A44" w:rsidP="007F3A44">
      <w:pPr>
        <w:spacing w:before="120" w:after="120"/>
        <w:rPr>
          <w:rFonts w:cs="Times New Roman"/>
          <w:color w:val="000000" w:themeColor="text1"/>
        </w:rPr>
      </w:pPr>
      <w:r w:rsidRPr="002A1FDB">
        <w:rPr>
          <w:rFonts w:cs="Times New Roman"/>
          <w:color w:val="000000" w:themeColor="text1"/>
        </w:rPr>
        <w:t>Several years later</w:t>
      </w:r>
      <w:r>
        <w:rPr>
          <w:rFonts w:cs="Times New Roman"/>
          <w:color w:val="000000" w:themeColor="text1"/>
        </w:rPr>
        <w:t>, 1618-19,</w:t>
      </w:r>
      <w:r w:rsidRPr="002A1FDB">
        <w:rPr>
          <w:rFonts w:cs="Times New Roman"/>
          <w:color w:val="000000" w:themeColor="text1"/>
        </w:rPr>
        <w:t xml:space="preserve"> the Dutch National Synod met in Dordrecht, reviewed the Articles of Remonstrance, and came up with five “heads of doctrine,” </w:t>
      </w:r>
      <w:r>
        <w:rPr>
          <w:rFonts w:cs="Times New Roman"/>
          <w:color w:val="000000" w:themeColor="text1"/>
        </w:rPr>
        <w:t xml:space="preserve">one in response to </w:t>
      </w:r>
      <w:r w:rsidRPr="002A1FDB">
        <w:rPr>
          <w:rFonts w:cs="Times New Roman"/>
          <w:color w:val="000000" w:themeColor="text1"/>
        </w:rPr>
        <w:t xml:space="preserve">each </w:t>
      </w:r>
      <w:r>
        <w:rPr>
          <w:rFonts w:cs="Times New Roman"/>
          <w:color w:val="000000" w:themeColor="text1"/>
        </w:rPr>
        <w:t xml:space="preserve">article. </w:t>
      </w:r>
      <w:r w:rsidRPr="002A1FDB">
        <w:rPr>
          <w:rFonts w:cs="Times New Roman"/>
          <w:color w:val="000000" w:themeColor="text1"/>
        </w:rPr>
        <w:t xml:space="preserve">The Canons of Dort, as they are known, have served as a definition of </w:t>
      </w:r>
      <w:r>
        <w:rPr>
          <w:rFonts w:cs="Times New Roman"/>
          <w:color w:val="000000" w:themeColor="text1"/>
        </w:rPr>
        <w:t>Calvin</w:t>
      </w:r>
      <w:r w:rsidRPr="002A1FDB">
        <w:rPr>
          <w:rFonts w:cs="Times New Roman"/>
          <w:color w:val="000000" w:themeColor="text1"/>
        </w:rPr>
        <w:t xml:space="preserve">ism ever since, with the acrostic “tulip” providing a </w:t>
      </w:r>
      <w:r>
        <w:rPr>
          <w:rFonts w:cs="Times New Roman"/>
          <w:color w:val="000000" w:themeColor="text1"/>
        </w:rPr>
        <w:t>familiar</w:t>
      </w:r>
      <w:r w:rsidRPr="002A1FDB">
        <w:rPr>
          <w:rFonts w:cs="Times New Roman"/>
          <w:color w:val="000000" w:themeColor="text1"/>
        </w:rPr>
        <w:t xml:space="preserve"> mnemonic for the </w:t>
      </w:r>
      <w:r>
        <w:rPr>
          <w:rFonts w:cs="Times New Roman"/>
          <w:color w:val="000000" w:themeColor="text1"/>
        </w:rPr>
        <w:t>essential items in Calvinist soteriology—t</w:t>
      </w:r>
      <w:hyperlink r:id="rId13" w:tooltip="Total depravity" w:history="1">
        <w:r w:rsidRPr="002A1FDB">
          <w:rPr>
            <w:rFonts w:cs="Times New Roman"/>
            <w:color w:val="000000" w:themeColor="text1"/>
          </w:rPr>
          <w:t>otal depravity</w:t>
        </w:r>
      </w:hyperlink>
      <w:r w:rsidRPr="002A1FDB">
        <w:rPr>
          <w:rFonts w:cs="Times New Roman"/>
          <w:color w:val="000000" w:themeColor="text1"/>
        </w:rPr>
        <w:t>, </w:t>
      </w:r>
      <w:hyperlink r:id="rId14" w:tooltip="Unconditional election" w:history="1">
        <w:r w:rsidRPr="002A1FDB">
          <w:rPr>
            <w:rFonts w:cs="Times New Roman"/>
            <w:color w:val="000000" w:themeColor="text1"/>
          </w:rPr>
          <w:t>unconditional election</w:t>
        </w:r>
      </w:hyperlink>
      <w:r w:rsidRPr="002A1FDB">
        <w:rPr>
          <w:rFonts w:cs="Times New Roman"/>
          <w:color w:val="000000" w:themeColor="text1"/>
        </w:rPr>
        <w:t xml:space="preserve">, </w:t>
      </w:r>
      <w:hyperlink r:id="rId15" w:tooltip="Limited atonement" w:history="1">
        <w:r w:rsidRPr="002A1FDB">
          <w:rPr>
            <w:rFonts w:cs="Times New Roman"/>
            <w:color w:val="000000" w:themeColor="text1"/>
          </w:rPr>
          <w:t>limited atonement</w:t>
        </w:r>
      </w:hyperlink>
      <w:r w:rsidRPr="002A1FDB">
        <w:rPr>
          <w:rFonts w:cs="Times New Roman"/>
          <w:color w:val="000000" w:themeColor="text1"/>
        </w:rPr>
        <w:t xml:space="preserve">, </w:t>
      </w:r>
      <w:hyperlink r:id="rId16" w:tooltip="Irresistible grace" w:history="1">
        <w:r w:rsidRPr="002A1FDB">
          <w:rPr>
            <w:rFonts w:cs="Times New Roman"/>
            <w:color w:val="000000" w:themeColor="text1"/>
          </w:rPr>
          <w:t>irresistible grace</w:t>
        </w:r>
      </w:hyperlink>
      <w:r w:rsidRPr="002A1FDB">
        <w:rPr>
          <w:rFonts w:cs="Times New Roman"/>
          <w:color w:val="000000" w:themeColor="text1"/>
        </w:rPr>
        <w:t xml:space="preserve">, and the </w:t>
      </w:r>
      <w:hyperlink r:id="rId17" w:tooltip="Perseverance of the saints" w:history="1">
        <w:r w:rsidRPr="002A1FDB">
          <w:rPr>
            <w:rFonts w:cs="Times New Roman"/>
            <w:color w:val="000000" w:themeColor="text1"/>
          </w:rPr>
          <w:t>perseverance of the saints</w:t>
        </w:r>
      </w:hyperlink>
      <w:r w:rsidRPr="002A1FDB">
        <w:rPr>
          <w:rFonts w:cs="Times New Roman"/>
          <w:color w:val="000000" w:themeColor="text1"/>
        </w:rPr>
        <w:t>.</w:t>
      </w:r>
      <w:r>
        <w:rPr>
          <w:rFonts w:cs="Times New Roman"/>
          <w:color w:val="000000" w:themeColor="text1"/>
        </w:rPr>
        <w:t xml:space="preserve"> And there are a good number of people today who describe themselves as “five point Calvinists.” </w:t>
      </w:r>
    </w:p>
    <w:p w14:paraId="4A007DD7" w14:textId="5897B361" w:rsidR="009B06CF" w:rsidRDefault="00EB11BD" w:rsidP="005C68BE">
      <w:pPr>
        <w:spacing w:after="120"/>
      </w:pPr>
      <w:r>
        <w:rPr>
          <w:color w:val="000000" w:themeColor="text1"/>
        </w:rPr>
        <w:t>Whether or not</w:t>
      </w:r>
      <w:r w:rsidR="00EE3896" w:rsidRPr="0058634E">
        <w:rPr>
          <w:color w:val="000000" w:themeColor="text1"/>
        </w:rPr>
        <w:t xml:space="preserve"> </w:t>
      </w:r>
      <w:r w:rsidR="008044F0">
        <w:rPr>
          <w:color w:val="000000" w:themeColor="text1"/>
        </w:rPr>
        <w:t xml:space="preserve">Calvin himself </w:t>
      </w:r>
      <w:r>
        <w:rPr>
          <w:color w:val="000000" w:themeColor="text1"/>
        </w:rPr>
        <w:t xml:space="preserve">as </w:t>
      </w:r>
      <w:r w:rsidR="008044F0">
        <w:rPr>
          <w:color w:val="000000" w:themeColor="text1"/>
        </w:rPr>
        <w:t xml:space="preserve">a </w:t>
      </w:r>
      <w:r>
        <w:rPr>
          <w:color w:val="000000" w:themeColor="text1"/>
        </w:rPr>
        <w:t xml:space="preserve">thoroughgoing </w:t>
      </w:r>
      <w:r w:rsidR="008044F0">
        <w:rPr>
          <w:color w:val="000000" w:themeColor="text1"/>
        </w:rPr>
        <w:t>“Calvinist</w:t>
      </w:r>
      <w:r>
        <w:rPr>
          <w:color w:val="000000" w:themeColor="text1"/>
        </w:rPr>
        <w:t>,</w:t>
      </w:r>
      <w:r w:rsidR="008044F0">
        <w:rPr>
          <w:color w:val="000000" w:themeColor="text1"/>
        </w:rPr>
        <w:t>” the concept of predestination</w:t>
      </w:r>
      <w:r w:rsidR="00EE3896" w:rsidRPr="0058634E">
        <w:rPr>
          <w:color w:val="000000" w:themeColor="text1"/>
        </w:rPr>
        <w:t xml:space="preserve"> took on a life of </w:t>
      </w:r>
      <w:r w:rsidR="00432115" w:rsidRPr="0058634E">
        <w:rPr>
          <w:color w:val="000000" w:themeColor="text1"/>
        </w:rPr>
        <w:t xml:space="preserve">its own, </w:t>
      </w:r>
      <w:r w:rsidR="00DC67A0">
        <w:rPr>
          <w:color w:val="000000" w:themeColor="text1"/>
        </w:rPr>
        <w:t xml:space="preserve">and </w:t>
      </w:r>
      <w:r w:rsidR="00432115" w:rsidRPr="0058634E">
        <w:rPr>
          <w:color w:val="000000" w:themeColor="text1"/>
        </w:rPr>
        <w:t xml:space="preserve">divine determinism </w:t>
      </w:r>
      <w:r w:rsidR="00EE3896" w:rsidRPr="0058634E">
        <w:rPr>
          <w:color w:val="000000" w:themeColor="text1"/>
        </w:rPr>
        <w:t xml:space="preserve">became for later Protestants the bedrock of their theology. </w:t>
      </w:r>
      <w:r w:rsidR="008044F0">
        <w:rPr>
          <w:color w:val="000000" w:themeColor="text1"/>
        </w:rPr>
        <w:t>In t</w:t>
      </w:r>
      <w:r w:rsidR="001844F6">
        <w:rPr>
          <w:color w:val="000000" w:themeColor="text1"/>
        </w:rPr>
        <w:t>he third of its 33 chapters</w:t>
      </w:r>
      <w:r w:rsidR="008044F0">
        <w:rPr>
          <w:color w:val="000000" w:themeColor="text1"/>
        </w:rPr>
        <w:t>, for example, “</w:t>
      </w:r>
      <w:r w:rsidR="001844F6">
        <w:rPr>
          <w:color w:val="000000" w:themeColor="text1"/>
        </w:rPr>
        <w:t>Of God’s Eternal Decree</w:t>
      </w:r>
      <w:r w:rsidR="008044F0">
        <w:rPr>
          <w:color w:val="000000" w:themeColor="text1"/>
        </w:rPr>
        <w:t xml:space="preserve">,” </w:t>
      </w:r>
      <w:r w:rsidR="001844F6">
        <w:rPr>
          <w:color w:val="000000" w:themeColor="text1"/>
        </w:rPr>
        <w:t>t</w:t>
      </w:r>
      <w:r w:rsidR="001844F6" w:rsidRPr="0058634E">
        <w:rPr>
          <w:color w:val="000000" w:themeColor="text1"/>
        </w:rPr>
        <w:t xml:space="preserve">he </w:t>
      </w:r>
      <w:r w:rsidR="001844F6">
        <w:rPr>
          <w:color w:val="000000" w:themeColor="text1"/>
        </w:rPr>
        <w:t>Westminster Confession (1646)</w:t>
      </w:r>
      <w:r w:rsidR="00EE3896" w:rsidRPr="0058634E">
        <w:rPr>
          <w:color w:val="000000" w:themeColor="text1"/>
        </w:rPr>
        <w:t xml:space="preserve"> asserts that “God from all eternity did, by the most wise and holy counsel of his own will, freely and unchangeably ordain </w:t>
      </w:r>
      <w:proofErr w:type="spellStart"/>
      <w:r w:rsidR="00EE3896" w:rsidRPr="0058634E">
        <w:rPr>
          <w:color w:val="000000" w:themeColor="text1"/>
        </w:rPr>
        <w:t>whatsover</w:t>
      </w:r>
      <w:proofErr w:type="spellEnd"/>
      <w:r w:rsidR="00EE3896" w:rsidRPr="0058634E">
        <w:rPr>
          <w:color w:val="000000" w:themeColor="text1"/>
        </w:rPr>
        <w:t xml:space="preserve"> comes to pass</w:t>
      </w:r>
      <w:r w:rsidR="00F72766">
        <w:rPr>
          <w:color w:val="000000" w:themeColor="text1"/>
        </w:rPr>
        <w:t>.</w:t>
      </w:r>
      <w:r w:rsidR="00EE3896" w:rsidRPr="0058634E">
        <w:rPr>
          <w:color w:val="000000" w:themeColor="text1"/>
        </w:rPr>
        <w:t>”</w:t>
      </w:r>
      <w:r w:rsidR="00432115" w:rsidRPr="0058634E">
        <w:rPr>
          <w:color w:val="000000" w:themeColor="text1"/>
        </w:rPr>
        <w:t xml:space="preserve"> </w:t>
      </w:r>
      <w:r w:rsidR="0058634E" w:rsidRPr="0058634E">
        <w:rPr>
          <w:color w:val="000000" w:themeColor="text1"/>
        </w:rPr>
        <w:t>And the no</w:t>
      </w:r>
      <w:r w:rsidR="0058634E" w:rsidRPr="0058634E">
        <w:rPr>
          <w:color w:val="000000" w:themeColor="text1"/>
        </w:rPr>
        <w:lastRenderedPageBreak/>
        <w:t xml:space="preserve">tion that God is responsible, not just for the ultimate destiny of human beings, but for everything that happens in the universe, is alive and well today. </w:t>
      </w:r>
      <w:r w:rsidR="00432115" w:rsidRPr="0058634E">
        <w:t>During the 500</w:t>
      </w:r>
      <w:r w:rsidR="00432115" w:rsidRPr="0058634E">
        <w:rPr>
          <w:vertAlign w:val="superscript"/>
        </w:rPr>
        <w:t>th</w:t>
      </w:r>
      <w:r w:rsidR="00432115" w:rsidRPr="0058634E">
        <w:t xml:space="preserve"> anniversary of </w:t>
      </w:r>
      <w:r w:rsidR="005C68BE">
        <w:t>Calvin</w:t>
      </w:r>
      <w:r w:rsidR="00432115" w:rsidRPr="0058634E">
        <w:t xml:space="preserve">’s birth, </w:t>
      </w:r>
      <w:r w:rsidR="00432115" w:rsidRPr="0058634E">
        <w:rPr>
          <w:i/>
        </w:rPr>
        <w:t>Time Magazine</w:t>
      </w:r>
      <w:r w:rsidR="00432115" w:rsidRPr="0058634E">
        <w:t xml:space="preserve"> described </w:t>
      </w:r>
      <w:r w:rsidR="005C68BE">
        <w:t>Calvin</w:t>
      </w:r>
      <w:r w:rsidR="00432115" w:rsidRPr="0058634E">
        <w:t>ism as “Evangelicalism’s latest success story, complete with an utterly sovereign and micromanaging deity, sinful and puny humanity, and the combination’s logical consequence, predestination</w:t>
      </w:r>
      <w:r w:rsidR="00F72766">
        <w:t xml:space="preserve"> …</w:t>
      </w:r>
      <w:r w:rsidR="00432115" w:rsidRPr="0058634E">
        <w:t>.”</w:t>
      </w:r>
      <w:r w:rsidR="0058634E" w:rsidRPr="0058634E">
        <w:rPr>
          <w:rStyle w:val="FootnoteReference"/>
        </w:rPr>
        <w:footnoteReference w:id="27"/>
      </w:r>
      <w:r w:rsidR="00432115" w:rsidRPr="0058634E">
        <w:t xml:space="preserve"> </w:t>
      </w:r>
    </w:p>
    <w:p w14:paraId="7CE397AD" w14:textId="3C287F14" w:rsidR="00C7131E" w:rsidRPr="00B8605D" w:rsidRDefault="00C26FF3" w:rsidP="00C7131E">
      <w:pPr>
        <w:spacing w:after="120"/>
      </w:pPr>
      <w:r>
        <w:t>In the words of</w:t>
      </w:r>
      <w:r w:rsidR="00D40ECD">
        <w:t xml:space="preserve"> one</w:t>
      </w:r>
      <w:r w:rsidR="00DC67A0">
        <w:t xml:space="preserve"> advocate</w:t>
      </w:r>
      <w:r w:rsidR="00D40ECD">
        <w:t xml:space="preserve">, </w:t>
      </w:r>
      <w:r w:rsidR="00C7131E" w:rsidRPr="00B8605D">
        <w:t xml:space="preserve">“Scripture never doubts God’s command over every event, or that he determines everything that happens, in its entirety and in minutest detail: God is sovereign </w:t>
      </w:r>
      <w:r w:rsidR="00F72766">
        <w:t>totally, radically, absolutely.</w:t>
      </w:r>
      <w:r w:rsidR="00C7131E" w:rsidRPr="00B8605D">
        <w:t>…</w:t>
      </w:r>
      <w:r w:rsidR="00D40ECD">
        <w:t xml:space="preserve"> </w:t>
      </w:r>
      <w:r w:rsidR="00C7131E" w:rsidRPr="00B8605D">
        <w:t>God’s care extends even to the minutest occ</w:t>
      </w:r>
      <w:r w:rsidR="00D40ECD">
        <w:t>urrences …</w:t>
      </w:r>
      <w:r w:rsidR="00C7131E" w:rsidRPr="00B8605D">
        <w:t>” (Mt 10:29).</w:t>
      </w:r>
      <w:r w:rsidR="00C7131E" w:rsidRPr="00B8605D">
        <w:rPr>
          <w:rStyle w:val="FootnoteReference"/>
        </w:rPr>
        <w:footnoteReference w:id="28"/>
      </w:r>
      <w:r w:rsidR="00C7131E" w:rsidRPr="00B8605D">
        <w:t xml:space="preserve"> </w:t>
      </w:r>
    </w:p>
    <w:p w14:paraId="0A21F8A5" w14:textId="7E7DB6F7" w:rsidR="00666C70" w:rsidRDefault="00AD1F38" w:rsidP="005C68BE">
      <w:pPr>
        <w:spacing w:after="120"/>
        <w:rPr>
          <w:b/>
          <w:color w:val="000000" w:themeColor="text1"/>
        </w:rPr>
      </w:pPr>
      <w:r>
        <w:rPr>
          <w:b/>
          <w:color w:val="000000" w:themeColor="text1"/>
        </w:rPr>
        <w:t>Theological “fine tuning” (or “hairsplitting”?)</w:t>
      </w:r>
    </w:p>
    <w:p w14:paraId="717F5155" w14:textId="7CA4CA00" w:rsidR="004E72DA" w:rsidRDefault="0041653F" w:rsidP="005C68BE">
      <w:pPr>
        <w:spacing w:after="120"/>
        <w:rPr>
          <w:color w:val="000000" w:themeColor="text1"/>
        </w:rPr>
      </w:pPr>
      <w:r>
        <w:rPr>
          <w:color w:val="000000" w:themeColor="text1"/>
        </w:rPr>
        <w:t xml:space="preserve">The </w:t>
      </w:r>
      <w:r w:rsidR="00DC67A0">
        <w:rPr>
          <w:color w:val="000000" w:themeColor="text1"/>
        </w:rPr>
        <w:t>contrasting</w:t>
      </w:r>
      <w:r>
        <w:rPr>
          <w:color w:val="000000" w:themeColor="text1"/>
        </w:rPr>
        <w:t xml:space="preserve"> positions taken by </w:t>
      </w:r>
      <w:r w:rsidR="005C68BE">
        <w:rPr>
          <w:color w:val="000000" w:themeColor="text1"/>
        </w:rPr>
        <w:t>Calvinists</w:t>
      </w:r>
      <w:r>
        <w:rPr>
          <w:color w:val="000000" w:themeColor="text1"/>
        </w:rPr>
        <w:t xml:space="preserve"> and </w:t>
      </w:r>
      <w:proofErr w:type="spellStart"/>
      <w:r>
        <w:rPr>
          <w:color w:val="000000" w:themeColor="text1"/>
        </w:rPr>
        <w:t>Arminians</w:t>
      </w:r>
      <w:proofErr w:type="spellEnd"/>
      <w:r>
        <w:rPr>
          <w:color w:val="000000" w:themeColor="text1"/>
        </w:rPr>
        <w:t xml:space="preserve"> on matters of salvation reveal the difficulty of </w:t>
      </w:r>
      <w:r w:rsidR="00B30D1E">
        <w:rPr>
          <w:color w:val="000000" w:themeColor="text1"/>
        </w:rPr>
        <w:t>achieving</w:t>
      </w:r>
      <w:r w:rsidR="00394491">
        <w:rPr>
          <w:color w:val="000000" w:themeColor="text1"/>
        </w:rPr>
        <w:t xml:space="preserve"> all the objectives of good theology: to do </w:t>
      </w:r>
      <w:r>
        <w:rPr>
          <w:color w:val="000000" w:themeColor="text1"/>
        </w:rPr>
        <w:t xml:space="preserve">justice to the </w:t>
      </w:r>
      <w:r w:rsidR="00394491">
        <w:rPr>
          <w:color w:val="000000" w:themeColor="text1"/>
        </w:rPr>
        <w:t xml:space="preserve">full range of </w:t>
      </w:r>
      <w:r w:rsidR="00DC67A0">
        <w:rPr>
          <w:color w:val="000000" w:themeColor="text1"/>
        </w:rPr>
        <w:t xml:space="preserve">the </w:t>
      </w:r>
      <w:r w:rsidR="00394491">
        <w:rPr>
          <w:color w:val="000000" w:themeColor="text1"/>
        </w:rPr>
        <w:t xml:space="preserve">biblical witness, to satisfy </w:t>
      </w:r>
      <w:r>
        <w:rPr>
          <w:color w:val="000000" w:themeColor="text1"/>
        </w:rPr>
        <w:t>the requirements of reason</w:t>
      </w:r>
      <w:r w:rsidR="00394491">
        <w:rPr>
          <w:color w:val="000000" w:themeColor="text1"/>
        </w:rPr>
        <w:t xml:space="preserve"> for clarity and consistency, and to meet the complex needs of personal religious experience</w:t>
      </w:r>
      <w:r>
        <w:rPr>
          <w:color w:val="000000" w:themeColor="text1"/>
        </w:rPr>
        <w:t xml:space="preserve">. </w:t>
      </w:r>
      <w:r w:rsidR="00B30D1E">
        <w:rPr>
          <w:color w:val="000000" w:themeColor="text1"/>
        </w:rPr>
        <w:t xml:space="preserve">Proponents of each position </w:t>
      </w:r>
      <w:r w:rsidR="007A34B6">
        <w:rPr>
          <w:color w:val="000000" w:themeColor="text1"/>
        </w:rPr>
        <w:t>face serious</w:t>
      </w:r>
      <w:r w:rsidR="00B30D1E">
        <w:rPr>
          <w:color w:val="000000" w:themeColor="text1"/>
        </w:rPr>
        <w:t xml:space="preserve"> challenges in </w:t>
      </w:r>
      <w:r w:rsidR="007A34B6">
        <w:rPr>
          <w:color w:val="000000" w:themeColor="text1"/>
        </w:rPr>
        <w:t xml:space="preserve">trying to satisfy </w:t>
      </w:r>
      <w:r w:rsidR="00B30D1E">
        <w:rPr>
          <w:color w:val="000000" w:themeColor="text1"/>
        </w:rPr>
        <w:t>all of them.</w:t>
      </w:r>
      <w:r w:rsidR="007A34B6">
        <w:rPr>
          <w:color w:val="000000" w:themeColor="text1"/>
        </w:rPr>
        <w:t xml:space="preserve"> </w:t>
      </w:r>
    </w:p>
    <w:p w14:paraId="7D176795" w14:textId="2D8BBE7D" w:rsidR="003C4D99" w:rsidRDefault="003C4D99" w:rsidP="003C4D99">
      <w:pPr>
        <w:spacing w:after="120"/>
        <w:rPr>
          <w:color w:val="000000" w:themeColor="text1"/>
        </w:rPr>
      </w:pPr>
      <w:r>
        <w:rPr>
          <w:color w:val="000000" w:themeColor="text1"/>
        </w:rPr>
        <w:t>If</w:t>
      </w:r>
      <w:r w:rsidR="007A34B6">
        <w:rPr>
          <w:color w:val="000000" w:themeColor="text1"/>
        </w:rPr>
        <w:t>, as Calvinists maintain,</w:t>
      </w:r>
      <w:r>
        <w:rPr>
          <w:color w:val="000000" w:themeColor="text1"/>
        </w:rPr>
        <w:t xml:space="preserve"> God is entirely responsible for our salvation—human achievement/performance has nothing to do with it—and this necessarily implies that God is responsible for everything that is, how can one avoid the conclusion that God is responsible for evil and suffering?</w:t>
      </w:r>
      <w:r w:rsidR="000075AC">
        <w:rPr>
          <w:color w:val="000000" w:themeColor="text1"/>
        </w:rPr>
        <w:t xml:space="preserve"> And if the perseverance of the saints is inevitable, what are we to make of the numerous biblical warnings against “falling away”?</w:t>
      </w:r>
      <w:r w:rsidR="004D1FD6">
        <w:rPr>
          <w:color w:val="000000" w:themeColor="text1"/>
        </w:rPr>
        <w:t xml:space="preserve"> </w:t>
      </w:r>
      <w:r w:rsidR="00F72766">
        <w:rPr>
          <w:color w:val="000000" w:themeColor="text1"/>
        </w:rPr>
        <w:t>But</w:t>
      </w:r>
      <w:r w:rsidR="007A34B6">
        <w:rPr>
          <w:color w:val="000000" w:themeColor="text1"/>
        </w:rPr>
        <w:t xml:space="preserve"> if, as </w:t>
      </w:r>
      <w:proofErr w:type="spellStart"/>
      <w:r w:rsidR="007A34B6">
        <w:rPr>
          <w:color w:val="000000" w:themeColor="text1"/>
        </w:rPr>
        <w:t>Arminians</w:t>
      </w:r>
      <w:proofErr w:type="spellEnd"/>
      <w:r w:rsidR="007A34B6">
        <w:rPr>
          <w:color w:val="000000" w:themeColor="text1"/>
        </w:rPr>
        <w:t xml:space="preserve"> grant</w:t>
      </w:r>
      <w:r>
        <w:rPr>
          <w:color w:val="000000" w:themeColor="text1"/>
        </w:rPr>
        <w:t xml:space="preserve">, human beings are the victims of </w:t>
      </w:r>
      <w:r w:rsidR="007A34B6">
        <w:rPr>
          <w:color w:val="000000" w:themeColor="text1"/>
        </w:rPr>
        <w:t>total depravity</w:t>
      </w:r>
      <w:r>
        <w:rPr>
          <w:color w:val="000000" w:themeColor="text1"/>
        </w:rPr>
        <w:t xml:space="preserve">, </w:t>
      </w:r>
      <w:r w:rsidR="000075AC">
        <w:rPr>
          <w:color w:val="000000" w:themeColor="text1"/>
        </w:rPr>
        <w:t xml:space="preserve">where do </w:t>
      </w:r>
      <w:r w:rsidR="007A34B6">
        <w:rPr>
          <w:color w:val="000000" w:themeColor="text1"/>
        </w:rPr>
        <w:t>we</w:t>
      </w:r>
      <w:r w:rsidR="000075AC">
        <w:rPr>
          <w:color w:val="000000" w:themeColor="text1"/>
        </w:rPr>
        <w:t xml:space="preserve"> get the ability to accept </w:t>
      </w:r>
      <w:r w:rsidR="007A34B6">
        <w:rPr>
          <w:color w:val="000000" w:themeColor="text1"/>
        </w:rPr>
        <w:t xml:space="preserve">God’s offer of salvation? </w:t>
      </w:r>
      <w:r w:rsidR="004D1FD6">
        <w:rPr>
          <w:color w:val="000000" w:themeColor="text1"/>
        </w:rPr>
        <w:t>What accounts for our</w:t>
      </w:r>
      <w:r>
        <w:rPr>
          <w:color w:val="000000" w:themeColor="text1"/>
        </w:rPr>
        <w:t xml:space="preserve"> freedom to do that?</w:t>
      </w:r>
    </w:p>
    <w:p w14:paraId="1E707E8F" w14:textId="305FC3A7" w:rsidR="003C4D99" w:rsidRPr="004C6384" w:rsidRDefault="004D1FD6" w:rsidP="003C4D99">
      <w:pPr>
        <w:spacing w:after="120"/>
        <w:rPr>
          <w:color w:val="000000" w:themeColor="text1"/>
        </w:rPr>
      </w:pPr>
      <w:r>
        <w:rPr>
          <w:color w:val="000000" w:themeColor="text1"/>
        </w:rPr>
        <w:t>Both sides</w:t>
      </w:r>
      <w:r w:rsidR="0041653F">
        <w:rPr>
          <w:color w:val="000000" w:themeColor="text1"/>
        </w:rPr>
        <w:t xml:space="preserve"> resort to careful maneuvering to </w:t>
      </w:r>
      <w:r>
        <w:rPr>
          <w:color w:val="000000" w:themeColor="text1"/>
        </w:rPr>
        <w:t xml:space="preserve">avoid unacceptable conclusions. </w:t>
      </w:r>
      <w:r w:rsidR="005C68BE">
        <w:rPr>
          <w:color w:val="000000" w:themeColor="text1"/>
        </w:rPr>
        <w:t>Calvinists</w:t>
      </w:r>
      <w:r w:rsidR="001842C0">
        <w:rPr>
          <w:color w:val="000000" w:themeColor="text1"/>
        </w:rPr>
        <w:t xml:space="preserve"> solve their dilemma by distinguishing between what God ultimately wants to happen and what he allows to happen. </w:t>
      </w:r>
      <w:r w:rsidR="003C4D99">
        <w:rPr>
          <w:color w:val="000000" w:themeColor="text1"/>
        </w:rPr>
        <w:t xml:space="preserve">in this vein, </w:t>
      </w:r>
      <w:r w:rsidR="003C4D99" w:rsidRPr="002A1FDB">
        <w:rPr>
          <w:color w:val="000000" w:themeColor="text1"/>
        </w:rPr>
        <w:t>Millard Erickson</w:t>
      </w:r>
      <w:r w:rsidR="003C4D99">
        <w:rPr>
          <w:color w:val="000000" w:themeColor="text1"/>
        </w:rPr>
        <w:t>, by his own account a “soft Calvinist,”</w:t>
      </w:r>
      <w:r w:rsidR="003C4D99" w:rsidRPr="002A1FDB">
        <w:rPr>
          <w:color w:val="000000" w:themeColor="text1"/>
        </w:rPr>
        <w:t xml:space="preserve"> </w:t>
      </w:r>
      <w:r w:rsidR="003C4D99">
        <w:rPr>
          <w:color w:val="000000" w:themeColor="text1"/>
        </w:rPr>
        <w:t>distinguishes</w:t>
      </w:r>
      <w:r w:rsidR="003C4D99" w:rsidRPr="002A1FDB">
        <w:rPr>
          <w:color w:val="000000" w:themeColor="text1"/>
        </w:rPr>
        <w:t xml:space="preserve"> God’s “wish” </w:t>
      </w:r>
      <w:r w:rsidR="003C4D99">
        <w:rPr>
          <w:color w:val="000000" w:themeColor="text1"/>
        </w:rPr>
        <w:t>from</w:t>
      </w:r>
      <w:r w:rsidR="003C4D99" w:rsidRPr="002A1FDB">
        <w:rPr>
          <w:color w:val="000000" w:themeColor="text1"/>
        </w:rPr>
        <w:t xml:space="preserve"> God’s “will.” The former refers to “God’s general intention, the values with which he is pleased. The latter is God’s specific intention in a given situation, what he decides shall actually occur.” And there are many times when God wills to permit “what he really does not wish.” Consequently, we should say that the will of God “permits rather than causes sin,” even though by not preventing it “God in effect wills the sin.” And if we wonder why God permits what he does not really wish, the answer is, we do not know.</w:t>
      </w:r>
      <w:r w:rsidR="003C4D99" w:rsidRPr="002A1FDB">
        <w:rPr>
          <w:rStyle w:val="FootnoteReference"/>
          <w:color w:val="000000" w:themeColor="text1"/>
        </w:rPr>
        <w:t xml:space="preserve"> </w:t>
      </w:r>
      <w:r w:rsidR="003C4D99" w:rsidRPr="002A1FDB">
        <w:rPr>
          <w:rStyle w:val="FootnoteReference"/>
          <w:color w:val="000000" w:themeColor="text1"/>
        </w:rPr>
        <w:footnoteReference w:id="29"/>
      </w:r>
    </w:p>
    <w:p w14:paraId="16D08B47" w14:textId="77CAE576" w:rsidR="00E555E8" w:rsidRDefault="003C4D99" w:rsidP="003C4D99">
      <w:pPr>
        <w:spacing w:after="120"/>
        <w:rPr>
          <w:color w:val="000000" w:themeColor="text1"/>
        </w:rPr>
      </w:pPr>
      <w:proofErr w:type="spellStart"/>
      <w:r>
        <w:rPr>
          <w:color w:val="000000" w:themeColor="text1"/>
        </w:rPr>
        <w:t>Arminians</w:t>
      </w:r>
      <w:proofErr w:type="spellEnd"/>
      <w:r>
        <w:rPr>
          <w:color w:val="000000" w:themeColor="text1"/>
        </w:rPr>
        <w:t xml:space="preserve"> find a way to account for the ability of sinful humans to accept the gift of salvation by distinguishing between saving grace and enabling, or “prevenient,” grace</w:t>
      </w:r>
      <w:r w:rsidR="00E555E8">
        <w:rPr>
          <w:color w:val="000000" w:themeColor="text1"/>
        </w:rPr>
        <w:t xml:space="preserve">. </w:t>
      </w:r>
      <w:r w:rsidR="00662EFA">
        <w:rPr>
          <w:color w:val="000000" w:themeColor="text1"/>
        </w:rPr>
        <w:t>As a theological dictionary describes Methodism, one of its distinctive emphases is the belief that the offer of salvation is universal</w:t>
      </w:r>
      <w:r w:rsidR="00ED4A7E">
        <w:rPr>
          <w:color w:val="000000" w:themeColor="text1"/>
        </w:rPr>
        <w:t>, so al</w:t>
      </w:r>
      <w:r w:rsidR="00662EFA">
        <w:rPr>
          <w:color w:val="000000" w:themeColor="text1"/>
        </w:rPr>
        <w:t xml:space="preserve">l human beings can be saved. </w:t>
      </w:r>
      <w:r w:rsidR="00ED4A7E">
        <w:rPr>
          <w:color w:val="000000" w:themeColor="text1"/>
        </w:rPr>
        <w:t>How? Because o</w:t>
      </w:r>
      <w:r w:rsidR="00662EFA">
        <w:rPr>
          <w:color w:val="000000" w:themeColor="text1"/>
        </w:rPr>
        <w:t xml:space="preserve">ur fallen state is “offset by preliminary or prevenient grace [as distinct from irresistible grace] which operates to some </w:t>
      </w:r>
      <w:r w:rsidR="00662EFA">
        <w:rPr>
          <w:color w:val="000000" w:themeColor="text1"/>
        </w:rPr>
        <w:lastRenderedPageBreak/>
        <w:t>extent in all men and leads them towards conversion.”</w:t>
      </w:r>
      <w:r w:rsidR="00662EFA">
        <w:rPr>
          <w:rStyle w:val="FootnoteReference"/>
          <w:color w:val="000000" w:themeColor="text1"/>
        </w:rPr>
        <w:footnoteReference w:id="30"/>
      </w:r>
      <w:r w:rsidR="00ED4A7E">
        <w:rPr>
          <w:color w:val="000000" w:themeColor="text1"/>
        </w:rPr>
        <w:t xml:space="preserve"> This gives</w:t>
      </w:r>
      <w:r w:rsidR="00E555E8">
        <w:rPr>
          <w:color w:val="000000" w:themeColor="text1"/>
        </w:rPr>
        <w:t xml:space="preserve"> fallen human beings the ability </w:t>
      </w:r>
      <w:r>
        <w:rPr>
          <w:color w:val="000000" w:themeColor="text1"/>
        </w:rPr>
        <w:t>to say Yes to God</w:t>
      </w:r>
      <w:r w:rsidR="00E555E8">
        <w:rPr>
          <w:color w:val="000000" w:themeColor="text1"/>
        </w:rPr>
        <w:t xml:space="preserve">, but </w:t>
      </w:r>
      <w:r w:rsidR="00705F97">
        <w:rPr>
          <w:color w:val="000000" w:themeColor="text1"/>
        </w:rPr>
        <w:t xml:space="preserve">it </w:t>
      </w:r>
      <w:r w:rsidR="00ED4A7E">
        <w:rPr>
          <w:color w:val="000000" w:themeColor="text1"/>
        </w:rPr>
        <w:t xml:space="preserve">is </w:t>
      </w:r>
      <w:r w:rsidR="00E555E8">
        <w:rPr>
          <w:color w:val="000000" w:themeColor="text1"/>
        </w:rPr>
        <w:t xml:space="preserve">not enough to produce a positive response by itself. </w:t>
      </w:r>
    </w:p>
    <w:p w14:paraId="00623319" w14:textId="03C5E3D2" w:rsidR="00E52917" w:rsidRPr="002A1FDB" w:rsidRDefault="00E555E8" w:rsidP="005C68BE">
      <w:pPr>
        <w:spacing w:after="120"/>
        <w:rPr>
          <w:color w:val="000000" w:themeColor="text1"/>
        </w:rPr>
      </w:pPr>
      <w:r>
        <w:rPr>
          <w:color w:val="000000" w:themeColor="text1"/>
        </w:rPr>
        <w:t>Not surprisingly, proponents of each position find the oth</w:t>
      </w:r>
      <w:r w:rsidR="004D1FD6">
        <w:rPr>
          <w:color w:val="000000" w:themeColor="text1"/>
        </w:rPr>
        <w:t xml:space="preserve">ers’ explanations unconvincing. </w:t>
      </w:r>
      <w:r w:rsidR="00065FB8">
        <w:rPr>
          <w:color w:val="000000" w:themeColor="text1"/>
        </w:rPr>
        <w:t xml:space="preserve">In </w:t>
      </w:r>
      <w:r w:rsidR="00E52917" w:rsidRPr="002A1FDB">
        <w:rPr>
          <w:color w:val="000000" w:themeColor="text1"/>
        </w:rPr>
        <w:t xml:space="preserve">a revealing footnote in </w:t>
      </w:r>
      <w:r w:rsidR="00ED4A7E">
        <w:rPr>
          <w:color w:val="000000" w:themeColor="text1"/>
        </w:rPr>
        <w:t xml:space="preserve">one of his essays, </w:t>
      </w:r>
      <w:r w:rsidR="00E52917" w:rsidRPr="002A1FDB">
        <w:rPr>
          <w:color w:val="000000" w:themeColor="text1"/>
        </w:rPr>
        <w:t>his extensive article, Bruce McCormick describes his transition from “</w:t>
      </w:r>
      <w:proofErr w:type="spellStart"/>
      <w:r w:rsidR="00E52917" w:rsidRPr="002A1FDB">
        <w:rPr>
          <w:color w:val="000000" w:themeColor="text1"/>
        </w:rPr>
        <w:t>from</w:t>
      </w:r>
      <w:proofErr w:type="spellEnd"/>
      <w:r w:rsidR="00E52917" w:rsidRPr="002A1FDB">
        <w:rPr>
          <w:color w:val="000000" w:themeColor="text1"/>
        </w:rPr>
        <w:t xml:space="preserve"> a Wesleyan-Arminian perspective to a Reformed outlook.” While a student at Nazarene Theological Seminary, he wrote a paper on Wesley’s doctrine of “prevenient grace.” His research led him to the conclusion that the concept of prevenient grace, with its assurance that God gives everyone just enough grace to accept or reject “saving grace” when it is offered, not only makes the notion of “total depravity” meaningless, but has not even a hint of biblical support.</w:t>
      </w:r>
      <w:r w:rsidR="00E52917" w:rsidRPr="002A1FDB">
        <w:rPr>
          <w:rStyle w:val="FootnoteReference"/>
          <w:color w:val="000000" w:themeColor="text1"/>
        </w:rPr>
        <w:footnoteReference w:id="31"/>
      </w:r>
      <w:r w:rsidR="00E52917" w:rsidRPr="002A1FDB">
        <w:rPr>
          <w:color w:val="000000" w:themeColor="text1"/>
        </w:rPr>
        <w:t xml:space="preserve"> As McCormick came to see it, divine grace is effective in bringing its recipient salvation and is not, in any sense, a halfway, or preparatory, measure. In other words, divine grace, simply put, is saving grace. And with this conviction, his confidence in Arminianism gave way.  </w:t>
      </w:r>
    </w:p>
    <w:p w14:paraId="3B4C355B" w14:textId="27F157B9" w:rsidR="005C68BE" w:rsidRDefault="00E52917" w:rsidP="005C68BE">
      <w:pPr>
        <w:spacing w:after="120"/>
        <w:rPr>
          <w:color w:val="000000" w:themeColor="text1"/>
        </w:rPr>
      </w:pPr>
      <w:r w:rsidRPr="002A1FDB">
        <w:rPr>
          <w:color w:val="000000" w:themeColor="text1"/>
        </w:rPr>
        <w:t xml:space="preserve">Clark Pinnock’s theological “pilgrimage”—his term—led him in the opposite direction, from </w:t>
      </w:r>
      <w:r w:rsidR="005C68BE">
        <w:rPr>
          <w:color w:val="000000" w:themeColor="text1"/>
        </w:rPr>
        <w:t>Calvin</w:t>
      </w:r>
      <w:r w:rsidRPr="002A1FDB">
        <w:rPr>
          <w:color w:val="000000" w:themeColor="text1"/>
        </w:rPr>
        <w:t xml:space="preserve">ism to Arminianism. Converted as a teen-ager, he began his theological life as a </w:t>
      </w:r>
      <w:r w:rsidR="005C68BE">
        <w:rPr>
          <w:color w:val="000000" w:themeColor="text1"/>
        </w:rPr>
        <w:t>Calvin</w:t>
      </w:r>
      <w:r w:rsidRPr="002A1FDB">
        <w:rPr>
          <w:color w:val="000000" w:themeColor="text1"/>
        </w:rPr>
        <w:t xml:space="preserve">ist. He began to develop doubts about </w:t>
      </w:r>
      <w:r w:rsidR="005C68BE">
        <w:rPr>
          <w:color w:val="000000" w:themeColor="text1"/>
        </w:rPr>
        <w:t>Calvin</w:t>
      </w:r>
      <w:r w:rsidRPr="002A1FDB">
        <w:rPr>
          <w:color w:val="000000" w:themeColor="text1"/>
        </w:rPr>
        <w:t xml:space="preserve">ist positions as he read the book of Hebrews, with its urgent exhortations to persevere and warnings about falling away. These statements seemed to conflict with the last of </w:t>
      </w:r>
      <w:r w:rsidR="005C68BE">
        <w:rPr>
          <w:color w:val="000000" w:themeColor="text1"/>
        </w:rPr>
        <w:t>Calvin</w:t>
      </w:r>
      <w:r w:rsidRPr="002A1FDB">
        <w:rPr>
          <w:color w:val="000000" w:themeColor="text1"/>
        </w:rPr>
        <w:t xml:space="preserve">ism’s famous five points, “the perseverance of the saints,” and once the thread was pulled, he recounted, the whole garment of </w:t>
      </w:r>
      <w:r w:rsidR="005C68BE">
        <w:rPr>
          <w:color w:val="000000" w:themeColor="text1"/>
        </w:rPr>
        <w:t>Calvinism</w:t>
      </w:r>
      <w:r w:rsidRPr="002A1FDB">
        <w:rPr>
          <w:color w:val="000000" w:themeColor="text1"/>
        </w:rPr>
        <w:t xml:space="preserve"> began to unravel. Drawing on the Bible, then, and his own religious experience as well, he began to see that “reciprocity and conditionality had to be brought into the picture of God’s relations with us in creation and redemption,” and with this the deterministic model of God gave way. The “insight of reciprocity” made it possible for him to accept the “universal salvific will of God” and dispense with the “morally loathsome” doctrine of double predestination. Eventually it led him to free will theism, with its open view of the future and its revisionary concept of divine </w:t>
      </w:r>
      <w:r w:rsidR="005C68BE">
        <w:rPr>
          <w:color w:val="000000" w:themeColor="text1"/>
        </w:rPr>
        <w:t>foreknowledge</w:t>
      </w:r>
      <w:r w:rsidRPr="002A1FDB">
        <w:rPr>
          <w:color w:val="000000" w:themeColor="text1"/>
        </w:rPr>
        <w:t>.</w:t>
      </w:r>
      <w:r w:rsidRPr="002A1FDB">
        <w:rPr>
          <w:rStyle w:val="FootnoteReference"/>
          <w:color w:val="000000" w:themeColor="text1"/>
        </w:rPr>
        <w:footnoteReference w:id="32"/>
      </w:r>
    </w:p>
    <w:p w14:paraId="01410998" w14:textId="31A8CE28" w:rsidR="00843B85" w:rsidRPr="00106E3D" w:rsidRDefault="009F5339" w:rsidP="005C68BE">
      <w:pPr>
        <w:spacing w:after="120"/>
        <w:rPr>
          <w:bCs/>
        </w:rPr>
      </w:pPr>
      <w:r w:rsidRPr="00415A9C">
        <w:rPr>
          <w:color w:val="000000" w:themeColor="text1"/>
        </w:rPr>
        <w:t xml:space="preserve">A persistent question for </w:t>
      </w:r>
      <w:proofErr w:type="spellStart"/>
      <w:r w:rsidRPr="00415A9C">
        <w:rPr>
          <w:color w:val="000000" w:themeColor="text1"/>
        </w:rPr>
        <w:t>Arminians</w:t>
      </w:r>
      <w:proofErr w:type="spellEnd"/>
      <w:r w:rsidRPr="00415A9C">
        <w:rPr>
          <w:color w:val="000000" w:themeColor="text1"/>
        </w:rPr>
        <w:t>—</w:t>
      </w:r>
      <w:r w:rsidR="007B0662">
        <w:rPr>
          <w:color w:val="000000" w:themeColor="text1"/>
        </w:rPr>
        <w:t xml:space="preserve">one that goes </w:t>
      </w:r>
      <w:r w:rsidRPr="00415A9C">
        <w:rPr>
          <w:color w:val="000000" w:themeColor="text1"/>
        </w:rPr>
        <w:t xml:space="preserve">back to Arminius himself—concerns the relation between human freedom and divine </w:t>
      </w:r>
      <w:r w:rsidR="00D12C24">
        <w:rPr>
          <w:color w:val="000000" w:themeColor="text1"/>
        </w:rPr>
        <w:t>foreknowledge</w:t>
      </w:r>
      <w:r w:rsidRPr="00415A9C">
        <w:rPr>
          <w:color w:val="000000" w:themeColor="text1"/>
        </w:rPr>
        <w:t>.</w:t>
      </w:r>
      <w:r w:rsidR="00106E3D" w:rsidRPr="00FB5902">
        <w:rPr>
          <w:rStyle w:val="FootnoteReference"/>
          <w:bCs/>
        </w:rPr>
        <w:footnoteReference w:id="33"/>
      </w:r>
      <w:r w:rsidR="00106E3D" w:rsidRPr="00FB5902">
        <w:rPr>
          <w:bCs/>
        </w:rPr>
        <w:t xml:space="preserve"> </w:t>
      </w:r>
      <w:r w:rsidR="00106E3D" w:rsidRPr="00415A9C">
        <w:rPr>
          <w:color w:val="000000" w:themeColor="text1"/>
        </w:rPr>
        <w:t xml:space="preserve">And </w:t>
      </w:r>
      <w:r w:rsidR="00106E3D">
        <w:rPr>
          <w:color w:val="000000" w:themeColor="text1"/>
        </w:rPr>
        <w:t xml:space="preserve">among </w:t>
      </w:r>
      <w:proofErr w:type="spellStart"/>
      <w:r w:rsidR="00106E3D">
        <w:rPr>
          <w:color w:val="000000" w:themeColor="text1"/>
        </w:rPr>
        <w:t>Arminians</w:t>
      </w:r>
      <w:proofErr w:type="spellEnd"/>
      <w:r w:rsidR="00106E3D">
        <w:rPr>
          <w:color w:val="000000" w:themeColor="text1"/>
        </w:rPr>
        <w:t xml:space="preserve"> </w:t>
      </w:r>
      <w:r w:rsidR="00106E3D" w:rsidRPr="00415A9C">
        <w:rPr>
          <w:color w:val="000000" w:themeColor="text1"/>
        </w:rPr>
        <w:t xml:space="preserve">over the past </w:t>
      </w:r>
      <w:r w:rsidR="00221BFB">
        <w:rPr>
          <w:color w:val="000000" w:themeColor="text1"/>
        </w:rPr>
        <w:t>twenty</w:t>
      </w:r>
      <w:r w:rsidR="00106E3D" w:rsidRPr="00415A9C">
        <w:rPr>
          <w:color w:val="000000" w:themeColor="text1"/>
        </w:rPr>
        <w:t xml:space="preserve"> years or so, the issue of divine </w:t>
      </w:r>
      <w:r w:rsidR="00106E3D">
        <w:rPr>
          <w:color w:val="000000" w:themeColor="text1"/>
        </w:rPr>
        <w:t>foreknowledge</w:t>
      </w:r>
      <w:r w:rsidR="00106E3D" w:rsidRPr="00415A9C">
        <w:rPr>
          <w:color w:val="000000" w:themeColor="text1"/>
        </w:rPr>
        <w:t xml:space="preserve"> has generated animated discussions and some sharp divisions. </w:t>
      </w:r>
      <w:r w:rsidR="0086145C" w:rsidRPr="00415A9C">
        <w:rPr>
          <w:color w:val="000000" w:themeColor="text1"/>
        </w:rPr>
        <w:t>If human beings are genuinely free—</w:t>
      </w:r>
      <w:proofErr w:type="spellStart"/>
      <w:r w:rsidR="0086145C" w:rsidRPr="00415A9C">
        <w:rPr>
          <w:color w:val="000000" w:themeColor="text1"/>
        </w:rPr>
        <w:t>free</w:t>
      </w:r>
      <w:proofErr w:type="spellEnd"/>
      <w:r w:rsidR="0086145C" w:rsidRPr="00415A9C">
        <w:rPr>
          <w:color w:val="000000" w:themeColor="text1"/>
        </w:rPr>
        <w:t xml:space="preserve"> in a libertarian sense—then how could God </w:t>
      </w:r>
      <w:r w:rsidR="00705F97">
        <w:rPr>
          <w:color w:val="000000" w:themeColor="text1"/>
        </w:rPr>
        <w:t xml:space="preserve">know </w:t>
      </w:r>
      <w:r w:rsidR="0086145C" w:rsidRPr="00415A9C">
        <w:rPr>
          <w:color w:val="000000" w:themeColor="text1"/>
        </w:rPr>
        <w:t xml:space="preserve">what all their decisions will be before they make them? </w:t>
      </w:r>
      <w:proofErr w:type="spellStart"/>
      <w:r w:rsidR="00461BDE" w:rsidRPr="00415A9C">
        <w:rPr>
          <w:color w:val="000000" w:themeColor="text1"/>
        </w:rPr>
        <w:t>Arminians</w:t>
      </w:r>
      <w:proofErr w:type="spellEnd"/>
      <w:r w:rsidR="00461BDE" w:rsidRPr="00415A9C">
        <w:rPr>
          <w:color w:val="000000" w:themeColor="text1"/>
        </w:rPr>
        <w:t xml:space="preserve"> resort </w:t>
      </w:r>
      <w:r w:rsidR="00146747">
        <w:rPr>
          <w:color w:val="000000" w:themeColor="text1"/>
        </w:rPr>
        <w:lastRenderedPageBreak/>
        <w:t>to</w:t>
      </w:r>
      <w:r w:rsidR="00461BDE" w:rsidRPr="00415A9C">
        <w:rPr>
          <w:color w:val="000000" w:themeColor="text1"/>
        </w:rPr>
        <w:t xml:space="preserve"> a variety of responses,</w:t>
      </w:r>
      <w:r w:rsidR="00697F94">
        <w:rPr>
          <w:color w:val="000000" w:themeColor="text1"/>
        </w:rPr>
        <w:t xml:space="preserve"> from middle knowledge to simple</w:t>
      </w:r>
      <w:r w:rsidR="00461BDE" w:rsidRPr="00415A9C">
        <w:rPr>
          <w:color w:val="000000" w:themeColor="text1"/>
        </w:rPr>
        <w:t xml:space="preserve"> </w:t>
      </w:r>
      <w:r w:rsidR="005C68BE">
        <w:rPr>
          <w:color w:val="000000" w:themeColor="text1"/>
        </w:rPr>
        <w:t>foreknowledge</w:t>
      </w:r>
      <w:r w:rsidR="00461BDE" w:rsidRPr="00415A9C">
        <w:rPr>
          <w:color w:val="000000" w:themeColor="text1"/>
        </w:rPr>
        <w:t xml:space="preserve">, </w:t>
      </w:r>
      <w:r w:rsidR="00697F94">
        <w:rPr>
          <w:color w:val="000000" w:themeColor="text1"/>
        </w:rPr>
        <w:t>and</w:t>
      </w:r>
      <w:r w:rsidR="00461BDE" w:rsidRPr="00415A9C">
        <w:rPr>
          <w:color w:val="000000" w:themeColor="text1"/>
        </w:rPr>
        <w:t xml:space="preserve"> </w:t>
      </w:r>
      <w:r w:rsidR="00106E3D">
        <w:rPr>
          <w:color w:val="000000" w:themeColor="text1"/>
        </w:rPr>
        <w:t>a number known as “</w:t>
      </w:r>
      <w:r w:rsidR="00461BDE" w:rsidRPr="00415A9C">
        <w:rPr>
          <w:color w:val="000000" w:themeColor="text1"/>
        </w:rPr>
        <w:t>open theists</w:t>
      </w:r>
      <w:r w:rsidR="00106E3D">
        <w:rPr>
          <w:color w:val="000000" w:themeColor="text1"/>
        </w:rPr>
        <w:t>”</w:t>
      </w:r>
      <w:r w:rsidR="00461BDE" w:rsidRPr="00415A9C">
        <w:rPr>
          <w:color w:val="000000" w:themeColor="text1"/>
        </w:rPr>
        <w:t xml:space="preserve"> </w:t>
      </w:r>
      <w:r w:rsidR="00106E3D">
        <w:rPr>
          <w:color w:val="000000" w:themeColor="text1"/>
        </w:rPr>
        <w:t xml:space="preserve">take the position that </w:t>
      </w:r>
      <w:r w:rsidR="00697F94" w:rsidRPr="00415A9C">
        <w:rPr>
          <w:color w:val="000000" w:themeColor="text1"/>
        </w:rPr>
        <w:t xml:space="preserve">when </w:t>
      </w:r>
      <w:r w:rsidR="00697F94">
        <w:rPr>
          <w:color w:val="000000" w:themeColor="text1"/>
        </w:rPr>
        <w:t>God</w:t>
      </w:r>
      <w:r w:rsidR="00697F94" w:rsidRPr="00415A9C">
        <w:rPr>
          <w:color w:val="000000" w:themeColor="text1"/>
        </w:rPr>
        <w:t xml:space="preserve"> endowed </w:t>
      </w:r>
      <w:r w:rsidR="00146747">
        <w:rPr>
          <w:color w:val="000000" w:themeColor="text1"/>
        </w:rPr>
        <w:t>his</w:t>
      </w:r>
      <w:r w:rsidR="00697F94" w:rsidRPr="00415A9C">
        <w:rPr>
          <w:color w:val="000000" w:themeColor="text1"/>
        </w:rPr>
        <w:t xml:space="preserve"> creatures with genuine freedom </w:t>
      </w:r>
      <w:r w:rsidR="00697F94">
        <w:rPr>
          <w:color w:val="000000" w:themeColor="text1"/>
        </w:rPr>
        <w:t>he</w:t>
      </w:r>
      <w:r w:rsidR="00461BDE" w:rsidRPr="00415A9C">
        <w:rPr>
          <w:color w:val="000000" w:themeColor="text1"/>
        </w:rPr>
        <w:t xml:space="preserve"> created a world whose future was indefinite in significant </w:t>
      </w:r>
      <w:r w:rsidR="00705F97">
        <w:rPr>
          <w:color w:val="000000" w:themeColor="text1"/>
        </w:rPr>
        <w:t>ways, even from his perspective</w:t>
      </w:r>
      <w:r w:rsidR="00461BDE" w:rsidRPr="00415A9C">
        <w:rPr>
          <w:color w:val="000000" w:themeColor="text1"/>
        </w:rPr>
        <w:t xml:space="preserve">. God </w:t>
      </w:r>
      <w:r w:rsidR="00697F94">
        <w:rPr>
          <w:color w:val="000000" w:themeColor="text1"/>
        </w:rPr>
        <w:t>has the inherent power to create</w:t>
      </w:r>
      <w:r w:rsidR="00461BDE" w:rsidRPr="00415A9C">
        <w:rPr>
          <w:color w:val="000000" w:themeColor="text1"/>
        </w:rPr>
        <w:t xml:space="preserve"> a world that would fulfill his plan in every detail. But since his character is one of love, </w:t>
      </w:r>
      <w:r w:rsidR="00106E3D">
        <w:rPr>
          <w:color w:val="000000" w:themeColor="text1"/>
        </w:rPr>
        <w:t>God</w:t>
      </w:r>
      <w:r w:rsidR="00461BDE" w:rsidRPr="00415A9C">
        <w:rPr>
          <w:color w:val="000000" w:themeColor="text1"/>
        </w:rPr>
        <w:t xml:space="preserve"> chose instead to create a world whose inhabitants </w:t>
      </w:r>
      <w:r w:rsidR="00697F94">
        <w:rPr>
          <w:color w:val="000000" w:themeColor="text1"/>
        </w:rPr>
        <w:t xml:space="preserve">would have the freedom to </w:t>
      </w:r>
      <w:r w:rsidR="00D17CD2">
        <w:rPr>
          <w:color w:val="000000" w:themeColor="text1"/>
        </w:rPr>
        <w:t>return God’s love for them, and in so doing he ran the risk of rebellion</w:t>
      </w:r>
      <w:r w:rsidR="009D0F02" w:rsidRPr="00415A9C">
        <w:rPr>
          <w:color w:val="000000" w:themeColor="text1"/>
        </w:rPr>
        <w:t>.</w:t>
      </w:r>
      <w:r w:rsidR="00AD6F53">
        <w:rPr>
          <w:rStyle w:val="FootnoteReference"/>
          <w:color w:val="000000" w:themeColor="text1"/>
        </w:rPr>
        <w:footnoteReference w:id="34"/>
      </w:r>
      <w:r w:rsidR="00011E6D" w:rsidRPr="00415A9C">
        <w:rPr>
          <w:color w:val="000000" w:themeColor="text1"/>
        </w:rPr>
        <w:t xml:space="preserve"> </w:t>
      </w:r>
    </w:p>
    <w:p w14:paraId="476CDC43" w14:textId="4D8F9FC7" w:rsidR="00AD6F53" w:rsidRPr="00415A9C" w:rsidRDefault="00AD6F53" w:rsidP="00AD6F53">
      <w:pPr>
        <w:spacing w:after="120"/>
        <w:rPr>
          <w:color w:val="000000" w:themeColor="text1"/>
        </w:rPr>
      </w:pPr>
      <w:r w:rsidRPr="00415A9C">
        <w:rPr>
          <w:color w:val="000000" w:themeColor="text1"/>
        </w:rPr>
        <w:t xml:space="preserve">The responses to open theism have been far more animated, and sometimes hostile, than any of its original proponents anticipated. And while its critics understandably include </w:t>
      </w:r>
      <w:r>
        <w:rPr>
          <w:color w:val="000000" w:themeColor="text1"/>
        </w:rPr>
        <w:t>Calvinists</w:t>
      </w:r>
      <w:r w:rsidRPr="00415A9C">
        <w:rPr>
          <w:color w:val="000000" w:themeColor="text1"/>
        </w:rPr>
        <w:t xml:space="preserve">, they include a number of </w:t>
      </w:r>
      <w:proofErr w:type="spellStart"/>
      <w:r w:rsidRPr="00415A9C">
        <w:rPr>
          <w:color w:val="000000" w:themeColor="text1"/>
        </w:rPr>
        <w:t>Arminians</w:t>
      </w:r>
      <w:proofErr w:type="spellEnd"/>
      <w:r w:rsidRPr="00415A9C">
        <w:rPr>
          <w:color w:val="000000" w:themeColor="text1"/>
        </w:rPr>
        <w:t xml:space="preserve"> as well. And the focal issue of the discussion is </w:t>
      </w:r>
      <w:r>
        <w:rPr>
          <w:color w:val="000000" w:themeColor="text1"/>
        </w:rPr>
        <w:t xml:space="preserve">almost always </w:t>
      </w:r>
      <w:r w:rsidRPr="00415A9C">
        <w:rPr>
          <w:color w:val="000000" w:themeColor="text1"/>
        </w:rPr>
        <w:t>the extent of God’s knowledge</w:t>
      </w:r>
      <w:r>
        <w:rPr>
          <w:color w:val="000000" w:themeColor="text1"/>
        </w:rPr>
        <w:t>, or the meaning of divine omniscience</w:t>
      </w:r>
      <w:r w:rsidRPr="00415A9C">
        <w:rPr>
          <w:color w:val="000000" w:themeColor="text1"/>
        </w:rPr>
        <w:t xml:space="preserve">. For open theists themselves, there is an issue more basic than </w:t>
      </w:r>
      <w:r>
        <w:rPr>
          <w:color w:val="000000" w:themeColor="text1"/>
        </w:rPr>
        <w:t>foreknowledge</w:t>
      </w:r>
      <w:r w:rsidRPr="00415A9C">
        <w:rPr>
          <w:color w:val="000000" w:themeColor="text1"/>
        </w:rPr>
        <w:t>, namely, the question of which quality or attribute is central to the nature of God. Is it power? Or is it love? If it’s love, then it follows that God is open to the world, responsive to its events, touched by its sufferings, delighted by its successes and disappointed</w:t>
      </w:r>
      <w:r>
        <w:rPr>
          <w:color w:val="000000" w:themeColor="text1"/>
        </w:rPr>
        <w:t xml:space="preserve"> by its failures … all of this</w:t>
      </w:r>
      <w:r w:rsidRPr="00415A9C">
        <w:rPr>
          <w:color w:val="000000" w:themeColor="text1"/>
        </w:rPr>
        <w:t xml:space="preserve">, </w:t>
      </w:r>
      <w:r>
        <w:rPr>
          <w:color w:val="000000" w:themeColor="text1"/>
        </w:rPr>
        <w:t xml:space="preserve">not in one timeless, all-encompassing </w:t>
      </w:r>
      <w:r>
        <w:rPr>
          <w:color w:val="000000" w:themeColor="text1"/>
        </w:rPr>
        <w:t>perception</w:t>
      </w:r>
      <w:r>
        <w:rPr>
          <w:color w:val="000000" w:themeColor="text1"/>
        </w:rPr>
        <w:t xml:space="preserve">, but </w:t>
      </w:r>
      <w:r>
        <w:rPr>
          <w:color w:val="000000" w:themeColor="text1"/>
        </w:rPr>
        <w:t xml:space="preserve">sequentially, </w:t>
      </w:r>
      <w:r w:rsidRPr="00415A9C">
        <w:rPr>
          <w:color w:val="000000" w:themeColor="text1"/>
        </w:rPr>
        <w:t xml:space="preserve">as these things happen. </w:t>
      </w:r>
    </w:p>
    <w:p w14:paraId="02119002" w14:textId="7C2A3A55" w:rsidR="00D82396" w:rsidRDefault="00D82396" w:rsidP="00D82396">
      <w:pPr>
        <w:spacing w:after="120"/>
        <w:rPr>
          <w:b/>
        </w:rPr>
      </w:pPr>
      <w:r>
        <w:rPr>
          <w:b/>
        </w:rPr>
        <w:t>A possible</w:t>
      </w:r>
      <w:r w:rsidR="00705F97">
        <w:rPr>
          <w:b/>
        </w:rPr>
        <w:t xml:space="preserve"> response to</w:t>
      </w:r>
      <w:r>
        <w:rPr>
          <w:b/>
        </w:rPr>
        <w:t xml:space="preserve"> theological challenges</w:t>
      </w:r>
    </w:p>
    <w:p w14:paraId="0640F098" w14:textId="3926BC3C" w:rsidR="004D0EBA" w:rsidRPr="004D0EBA" w:rsidRDefault="004D0EBA" w:rsidP="00D82396">
      <w:pPr>
        <w:spacing w:after="120"/>
      </w:pPr>
      <w:r w:rsidRPr="004D0EBA">
        <w:t xml:space="preserve">When we look at the circuitous course that the Reformation quest for personal assurance took, we can see the </w:t>
      </w:r>
      <w:r w:rsidR="004A4999">
        <w:t xml:space="preserve">sort of </w:t>
      </w:r>
      <w:r w:rsidRPr="004D0EBA">
        <w:t xml:space="preserve">challenges that theologians face in their attempt to apply the best of human reasoning to the complexity of </w:t>
      </w:r>
      <w:r w:rsidR="004A4999">
        <w:t>religious</w:t>
      </w:r>
      <w:r w:rsidRPr="004D0EBA">
        <w:t xml:space="preserve"> experience. We seek clarity and consistency, </w:t>
      </w:r>
      <w:r w:rsidRPr="00AD6F53">
        <w:rPr>
          <w:i/>
        </w:rPr>
        <w:t>and</w:t>
      </w:r>
      <w:r w:rsidRPr="004D0EBA">
        <w:t xml:space="preserve"> we seek explanatory adequacy. </w:t>
      </w:r>
    </w:p>
    <w:p w14:paraId="002562E2" w14:textId="0AABD176" w:rsidR="004D0EBA" w:rsidRPr="004D0EBA" w:rsidRDefault="004D0EBA" w:rsidP="005C68BE">
      <w:pPr>
        <w:spacing w:after="120"/>
      </w:pPr>
      <w:r w:rsidRPr="004D0EBA">
        <w:t xml:space="preserve">From an Arminian perspective, double predestination is not a logical corollary of the priority of divine grace in the experience of salvation, but an exaggeration, and ultimately a distortion of it.  By emphasizing God’s initiative to the exclusion of any human participation, it raises a number of puzzling, apparently intractable problems, the most glaring of which is God’s apparent responsibility for evil and suffering. And the attempt overcome this by drawing a line between general and meticulous providence leaves us with a distinction without a difference. </w:t>
      </w:r>
    </w:p>
    <w:p w14:paraId="3A8F4FB2" w14:textId="1E806A17" w:rsidR="004D0EBA" w:rsidRPr="004D0EBA" w:rsidRDefault="004D0EBA" w:rsidP="005C68BE">
      <w:pPr>
        <w:spacing w:after="120"/>
      </w:pPr>
      <w:r w:rsidRPr="004D0EBA">
        <w:t xml:space="preserve">For </w:t>
      </w:r>
      <w:r w:rsidR="005C68BE">
        <w:t>Calvin</w:t>
      </w:r>
      <w:r w:rsidRPr="004D0EBA">
        <w:t xml:space="preserve">ists, </w:t>
      </w:r>
      <w:proofErr w:type="spellStart"/>
      <w:r w:rsidRPr="004D0EBA">
        <w:t>Arminians</w:t>
      </w:r>
      <w:proofErr w:type="spellEnd"/>
      <w:r w:rsidRPr="004D0EBA">
        <w:t xml:space="preserve"> unduly complicate what is essentially a straightforward understanding of salvation. </w:t>
      </w:r>
      <w:r w:rsidR="00D17CD2">
        <w:t xml:space="preserve">In sovereign majesty, </w:t>
      </w:r>
      <w:r w:rsidRPr="004D0EBA">
        <w:t xml:space="preserve">God decides entirely on his own who’s saved and who’s lost, and unilaterally applies his grace to the former. From a </w:t>
      </w:r>
      <w:r w:rsidR="005C68BE">
        <w:t>Calvin</w:t>
      </w:r>
      <w:r w:rsidRPr="004D0EBA">
        <w:t xml:space="preserve">ist perspective, the Arminian insistence that human freedom has an essential role to play in the experience of salvation detracts from the glory of God, overlooks the comprehensive effects of sin, and requires the hypothetical postulate of prevenient grace. </w:t>
      </w:r>
    </w:p>
    <w:p w14:paraId="3278C04E" w14:textId="02C9B80D" w:rsidR="00D82396" w:rsidRDefault="00D82396" w:rsidP="00D82396">
      <w:pPr>
        <w:spacing w:after="120"/>
      </w:pPr>
      <w:r>
        <w:t>And w</w:t>
      </w:r>
      <w:r w:rsidR="004D0EBA" w:rsidRPr="004D0EBA">
        <w:t xml:space="preserve">hat for most </w:t>
      </w:r>
      <w:proofErr w:type="spellStart"/>
      <w:r w:rsidR="004D0EBA" w:rsidRPr="004D0EBA">
        <w:t>Armininians</w:t>
      </w:r>
      <w:proofErr w:type="spellEnd"/>
      <w:r w:rsidR="004D0EBA" w:rsidRPr="004D0EBA">
        <w:t xml:space="preserve"> is a paradox</w:t>
      </w:r>
      <w:r w:rsidR="00ED3797">
        <w:t xml:space="preserve">—the </w:t>
      </w:r>
      <w:r w:rsidR="00C0246F" w:rsidRPr="004D0EBA">
        <w:t xml:space="preserve">dual affirmation of exhaustive divine </w:t>
      </w:r>
      <w:r w:rsidR="00C0246F">
        <w:t>foreknowledge</w:t>
      </w:r>
      <w:r w:rsidR="00C0246F" w:rsidRPr="004D0EBA">
        <w:t xml:space="preserve"> and libertarian human freedom</w:t>
      </w:r>
      <w:r w:rsidR="00ED3797">
        <w:t>—</w:t>
      </w:r>
      <w:r w:rsidR="004D0EBA" w:rsidRPr="004D0EBA">
        <w:t>open theists see as a</w:t>
      </w:r>
      <w:r w:rsidR="00C1182D">
        <w:t>n avoidable</w:t>
      </w:r>
      <w:r w:rsidR="004D0EBA" w:rsidRPr="004D0EBA">
        <w:t xml:space="preserve"> contradiction. If God sees the future in all its detail, we actually contribute nothing to the scheme of things and our sense of freedom is an illusion. </w:t>
      </w:r>
      <w:r w:rsidR="005D77A3">
        <w:t xml:space="preserve">But we </w:t>
      </w:r>
      <w:r w:rsidR="004D0EBA" w:rsidRPr="004D0EBA">
        <w:t xml:space="preserve">can </w:t>
      </w:r>
      <w:r>
        <w:t>avoid</w:t>
      </w:r>
      <w:r w:rsidR="004D0EBA" w:rsidRPr="004D0EBA">
        <w:t xml:space="preserve"> the incompatibility of exhaustive divine </w:t>
      </w:r>
      <w:r w:rsidR="005C68BE">
        <w:lastRenderedPageBreak/>
        <w:t>foreknowledge</w:t>
      </w:r>
      <w:r w:rsidR="004D0EBA" w:rsidRPr="004D0EBA">
        <w:t xml:space="preserve"> and human freedom by affirming divine temporality. </w:t>
      </w:r>
      <w:r w:rsidR="00310C51">
        <w:t xml:space="preserve">The view that </w:t>
      </w:r>
      <w:r w:rsidR="004D0EBA" w:rsidRPr="004D0EBA">
        <w:t>God experiences events as they happen, not in some timeless sphere</w:t>
      </w:r>
      <w:r w:rsidR="00310C51">
        <w:t xml:space="preserve">, is </w:t>
      </w:r>
      <w:r w:rsidR="00AD6F53">
        <w:t xml:space="preserve">makes sense of </w:t>
      </w:r>
      <w:r w:rsidR="00310C51">
        <w:t>the biblical witness and personal experience</w:t>
      </w:r>
      <w:r w:rsidR="004D0EBA" w:rsidRPr="004D0EBA">
        <w:t xml:space="preserve">. </w:t>
      </w:r>
    </w:p>
    <w:p w14:paraId="6B458A13" w14:textId="6191FC18" w:rsidR="009C45CF" w:rsidRDefault="00C815C4" w:rsidP="00ED3797">
      <w:pPr>
        <w:spacing w:after="120"/>
      </w:pPr>
      <w:r>
        <w:t xml:space="preserve">This leaves us with a somewhat troubling conclusion. </w:t>
      </w:r>
      <w:r w:rsidR="004D0EBA" w:rsidRPr="004D0EBA">
        <w:t>For theologians, nothing is more important than religion, and for them (for us) the stakes never seem higher than when we are embroiled in theological controversy</w:t>
      </w:r>
      <w:r w:rsidR="00504B4B">
        <w:t xml:space="preserve">, and nothing as important as the issues that divide us. </w:t>
      </w:r>
      <w:r w:rsidR="004D0EBA" w:rsidRPr="004D0EBA">
        <w:t xml:space="preserve">When that happens, </w:t>
      </w:r>
      <w:r w:rsidR="00504B4B">
        <w:t xml:space="preserve">it becomes more important than ever to remember the convictions that we share. </w:t>
      </w:r>
      <w:r w:rsidR="00D82396">
        <w:t xml:space="preserve">And this </w:t>
      </w:r>
      <w:r w:rsidR="009C45CF">
        <w:t>cen</w:t>
      </w:r>
      <w:r w:rsidR="00841CE9">
        <w:t>tennial year of t</w:t>
      </w:r>
      <w:r w:rsidR="007C4344">
        <w:t>he Reformation</w:t>
      </w:r>
      <w:r w:rsidR="00841CE9">
        <w:t xml:space="preserve"> </w:t>
      </w:r>
      <w:r w:rsidR="009C45CF">
        <w:t xml:space="preserve">provides an occasion to </w:t>
      </w:r>
      <w:r w:rsidR="00D82396">
        <w:t xml:space="preserve">bring </w:t>
      </w:r>
      <w:r w:rsidR="009C45CF">
        <w:t>the most important one</w:t>
      </w:r>
      <w:r w:rsidR="00D82396">
        <w:t xml:space="preserve"> to mind</w:t>
      </w:r>
      <w:r w:rsidR="00504B4B">
        <w:t>, namely, a common appreciation for Luther’s single, most important insight.</w:t>
      </w:r>
    </w:p>
    <w:p w14:paraId="31AF5E72" w14:textId="45BB2B22" w:rsidR="009C45CF" w:rsidRPr="002A1FDB" w:rsidRDefault="009C45CF" w:rsidP="009C45CF">
      <w:pPr>
        <w:spacing w:after="120"/>
        <w:rPr>
          <w:color w:val="000000" w:themeColor="text1"/>
        </w:rPr>
      </w:pPr>
      <w:r>
        <w:rPr>
          <w:color w:val="000000" w:themeColor="text1"/>
        </w:rPr>
        <w:t>Luther</w:t>
      </w:r>
      <w:r w:rsidRPr="002A1FDB">
        <w:rPr>
          <w:color w:val="000000" w:themeColor="text1"/>
        </w:rPr>
        <w:t xml:space="preserve"> is significant today, 500 years after he nailed his theses on the church door in Wittenberg, not simply as an inspiring example of moral courage, and not merely because he set in motion historical developments of incalculable consequence</w:t>
      </w:r>
      <w:r w:rsidR="00504B4B">
        <w:rPr>
          <w:color w:val="000000" w:themeColor="text1"/>
        </w:rPr>
        <w:t>.</w:t>
      </w:r>
      <w:r w:rsidR="00504B4B">
        <w:rPr>
          <w:rStyle w:val="FootnoteReference"/>
          <w:color w:val="000000" w:themeColor="text1"/>
        </w:rPr>
        <w:footnoteReference w:id="35"/>
      </w:r>
      <w:r w:rsidR="00504B4B">
        <w:rPr>
          <w:color w:val="000000" w:themeColor="text1"/>
        </w:rPr>
        <w:t xml:space="preserve"> </w:t>
      </w:r>
      <w:r w:rsidRPr="002A1FDB">
        <w:rPr>
          <w:color w:val="000000" w:themeColor="text1"/>
        </w:rPr>
        <w:t xml:space="preserve">He is significant today not primarily because his own spiritual struggle so dramatically expresses the experience of those who take religion with absolute seriousness. Nor is he significant for us because of the breadth and subtlety of his thought. </w:t>
      </w:r>
      <w:r w:rsidR="00946B04">
        <w:rPr>
          <w:color w:val="000000" w:themeColor="text1"/>
        </w:rPr>
        <w:t>(</w:t>
      </w:r>
      <w:r w:rsidRPr="002A1FDB">
        <w:rPr>
          <w:color w:val="000000" w:themeColor="text1"/>
        </w:rPr>
        <w:t>Other theologians had more to say, a</w:t>
      </w:r>
      <w:r w:rsidR="00946B04">
        <w:rPr>
          <w:color w:val="000000" w:themeColor="text1"/>
        </w:rPr>
        <w:t>nd many of them said it better.)</w:t>
      </w:r>
    </w:p>
    <w:p w14:paraId="2FC7157B" w14:textId="3F03672C" w:rsidR="009C45CF" w:rsidRPr="004C1037" w:rsidRDefault="009C45CF" w:rsidP="009C45CF">
      <w:pPr>
        <w:spacing w:after="120"/>
        <w:rPr>
          <w:color w:val="000000" w:themeColor="text1"/>
        </w:rPr>
      </w:pPr>
      <w:r w:rsidRPr="004C1037">
        <w:rPr>
          <w:color w:val="000000" w:themeColor="text1"/>
        </w:rPr>
        <w:t>Luther is significant today because, more than any other figure since the apostles themselves, he saw what the Gospel is all about and portrayed its central truth with vivid and unforgettable strokes.</w:t>
      </w:r>
      <w:r w:rsidR="0085471A" w:rsidRPr="004C1037">
        <w:rPr>
          <w:color w:val="000000" w:themeColor="text1"/>
        </w:rPr>
        <w:t xml:space="preserve"> </w:t>
      </w:r>
      <w:r w:rsidR="0085471A" w:rsidRPr="004C1037">
        <w:t>Luther put it this way in his commentary on Galatians.  “This is the reason why our theology is certain: It snatches us away from ourselves, so that we do not depend on our own strength, conscience, experience, person, or works, but depend on that which is outside ourselves, on the promise and truth of God, which cannot deceive.”</w:t>
      </w:r>
      <w:r w:rsidRPr="004C1037">
        <w:rPr>
          <w:color w:val="000000" w:themeColor="text1"/>
        </w:rPr>
        <w:t xml:space="preserve"> As theologian Emil Brunner observes, “It is precisely his one-sided emphasis </w:t>
      </w:r>
      <w:r w:rsidR="00E77665" w:rsidRPr="004C1037">
        <w:rPr>
          <w:color w:val="000000" w:themeColor="text1"/>
        </w:rPr>
        <w:t>on justification which marks [Luther</w:t>
      </w:r>
      <w:r w:rsidRPr="004C1037">
        <w:rPr>
          <w:color w:val="000000" w:themeColor="text1"/>
        </w:rPr>
        <w:t>] out as … the one teacher in all the church who is nearest to the mind of Christ.”</w:t>
      </w:r>
      <w:r w:rsidRPr="004C1037">
        <w:rPr>
          <w:rStyle w:val="FootnoteReference"/>
          <w:color w:val="000000" w:themeColor="text1"/>
        </w:rPr>
        <w:footnoteReference w:id="36"/>
      </w:r>
    </w:p>
    <w:p w14:paraId="00853519" w14:textId="6D4341AA" w:rsidR="00504B4B" w:rsidRDefault="00504B4B" w:rsidP="00504B4B">
      <w:pPr>
        <w:rPr>
          <w:color w:val="000000" w:themeColor="text1"/>
        </w:rPr>
      </w:pPr>
      <w:r>
        <w:rPr>
          <w:color w:val="000000" w:themeColor="text1"/>
        </w:rPr>
        <w:t>Richard Rice</w:t>
      </w:r>
    </w:p>
    <w:p w14:paraId="7220BEC3" w14:textId="2E54AFE4" w:rsidR="00504B4B" w:rsidRPr="002A1FDB" w:rsidRDefault="00504B4B" w:rsidP="009C45CF">
      <w:pPr>
        <w:spacing w:after="120"/>
        <w:rPr>
          <w:color w:val="000000" w:themeColor="text1"/>
        </w:rPr>
      </w:pPr>
      <w:r>
        <w:rPr>
          <w:color w:val="000000" w:themeColor="text1"/>
        </w:rPr>
        <w:t>Loma Linda University</w:t>
      </w:r>
    </w:p>
    <w:p w14:paraId="25971FE5" w14:textId="77777777" w:rsidR="009C45CF" w:rsidRDefault="009C45CF" w:rsidP="00ED3797">
      <w:pPr>
        <w:spacing w:after="120"/>
      </w:pPr>
    </w:p>
    <w:p w14:paraId="05FEB09B" w14:textId="6155EE33" w:rsidR="00ED3797" w:rsidRDefault="00ED3797"/>
    <w:sectPr w:rsidR="00ED3797" w:rsidSect="009A0D94">
      <w:headerReference w:type="even" r:id="rId1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26776" w14:textId="77777777" w:rsidR="00B1679D" w:rsidRDefault="00B1679D" w:rsidP="00F765FE">
      <w:r>
        <w:separator/>
      </w:r>
    </w:p>
  </w:endnote>
  <w:endnote w:type="continuationSeparator" w:id="0">
    <w:p w14:paraId="5B31C358" w14:textId="77777777" w:rsidR="00B1679D" w:rsidRDefault="00B1679D" w:rsidP="00F7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C75B3" w14:textId="77777777" w:rsidR="00B1679D" w:rsidRDefault="00B1679D" w:rsidP="00F765FE">
      <w:r>
        <w:separator/>
      </w:r>
    </w:p>
  </w:footnote>
  <w:footnote w:type="continuationSeparator" w:id="0">
    <w:p w14:paraId="75EA60D5" w14:textId="77777777" w:rsidR="00B1679D" w:rsidRDefault="00B1679D" w:rsidP="00F765FE">
      <w:r>
        <w:continuationSeparator/>
      </w:r>
    </w:p>
  </w:footnote>
  <w:footnote w:id="1">
    <w:p w14:paraId="2046EC0F" w14:textId="5400BA42" w:rsidR="00267105" w:rsidRPr="00504B4B" w:rsidRDefault="00267105">
      <w:pPr>
        <w:pStyle w:val="FootnoteText"/>
        <w:rPr>
          <w:sz w:val="20"/>
          <w:szCs w:val="20"/>
        </w:rPr>
      </w:pPr>
      <w:r w:rsidRPr="00504B4B">
        <w:rPr>
          <w:rStyle w:val="FootnoteReference"/>
          <w:sz w:val="20"/>
          <w:szCs w:val="20"/>
        </w:rPr>
        <w:footnoteRef/>
      </w:r>
      <w:r w:rsidRPr="00504B4B">
        <w:rPr>
          <w:sz w:val="20"/>
          <w:szCs w:val="20"/>
        </w:rPr>
        <w:t xml:space="preserve"> For a readable and informative account of Luther’s significance, see Jaroslav </w:t>
      </w:r>
      <w:proofErr w:type="spellStart"/>
      <w:r w:rsidRPr="00504B4B">
        <w:rPr>
          <w:sz w:val="20"/>
          <w:szCs w:val="20"/>
        </w:rPr>
        <w:t>Pelikan’s</w:t>
      </w:r>
      <w:proofErr w:type="spellEnd"/>
      <w:r w:rsidRPr="00504B4B">
        <w:rPr>
          <w:sz w:val="20"/>
          <w:szCs w:val="20"/>
        </w:rPr>
        <w:t xml:space="preserve"> article, “The Enduring Relevance of Martin Luther 500 Years After His Birth,” </w:t>
      </w:r>
      <w:r w:rsidRPr="00504B4B">
        <w:rPr>
          <w:i/>
          <w:sz w:val="20"/>
          <w:szCs w:val="20"/>
        </w:rPr>
        <w:t xml:space="preserve">The New York Times, </w:t>
      </w:r>
      <w:r w:rsidR="004E12FD" w:rsidRPr="00504B4B">
        <w:rPr>
          <w:sz w:val="20"/>
          <w:szCs w:val="20"/>
        </w:rPr>
        <w:t>September 18</w:t>
      </w:r>
      <w:r w:rsidRPr="00504B4B">
        <w:rPr>
          <w:sz w:val="20"/>
          <w:szCs w:val="20"/>
        </w:rPr>
        <w:t>,</w:t>
      </w:r>
      <w:r w:rsidR="008A643B" w:rsidRPr="00504B4B">
        <w:rPr>
          <w:sz w:val="20"/>
          <w:szCs w:val="20"/>
        </w:rPr>
        <w:t xml:space="preserve"> </w:t>
      </w:r>
      <w:r w:rsidRPr="00504B4B">
        <w:rPr>
          <w:sz w:val="20"/>
          <w:szCs w:val="20"/>
        </w:rPr>
        <w:t>1983.</w:t>
      </w:r>
      <w:r w:rsidR="007F2B20" w:rsidRPr="00504B4B">
        <w:rPr>
          <w:sz w:val="20"/>
          <w:szCs w:val="20"/>
        </w:rPr>
        <w:t xml:space="preserve"> For another readable, and more recent</w:t>
      </w:r>
      <w:r w:rsidR="004E12FD" w:rsidRPr="00504B4B">
        <w:rPr>
          <w:sz w:val="20"/>
          <w:szCs w:val="20"/>
        </w:rPr>
        <w:t>—</w:t>
      </w:r>
      <w:r w:rsidR="00DB6712" w:rsidRPr="00504B4B">
        <w:rPr>
          <w:sz w:val="20"/>
          <w:szCs w:val="20"/>
        </w:rPr>
        <w:t>34</w:t>
      </w:r>
      <w:r w:rsidR="004E12FD" w:rsidRPr="00504B4B">
        <w:rPr>
          <w:sz w:val="20"/>
          <w:szCs w:val="20"/>
        </w:rPr>
        <w:t xml:space="preserve"> years mo</w:t>
      </w:r>
      <w:r w:rsidR="00AD473B" w:rsidRPr="00504B4B">
        <w:rPr>
          <w:sz w:val="20"/>
          <w:szCs w:val="20"/>
        </w:rPr>
        <w:t>re recent</w:t>
      </w:r>
      <w:r w:rsidR="004E12FD" w:rsidRPr="00504B4B">
        <w:rPr>
          <w:sz w:val="20"/>
          <w:szCs w:val="20"/>
        </w:rPr>
        <w:t>—a</w:t>
      </w:r>
      <w:r w:rsidR="007F2B20" w:rsidRPr="00504B4B">
        <w:rPr>
          <w:sz w:val="20"/>
          <w:szCs w:val="20"/>
        </w:rPr>
        <w:t xml:space="preserve">ccount of Luther and the Reformation, see Joan </w:t>
      </w:r>
      <w:proofErr w:type="spellStart"/>
      <w:r w:rsidR="007F2B20" w:rsidRPr="00504B4B">
        <w:rPr>
          <w:sz w:val="20"/>
          <w:szCs w:val="20"/>
        </w:rPr>
        <w:t>Acocella</w:t>
      </w:r>
      <w:proofErr w:type="spellEnd"/>
      <w:r w:rsidR="007F2B20" w:rsidRPr="00504B4B">
        <w:rPr>
          <w:sz w:val="20"/>
          <w:szCs w:val="20"/>
        </w:rPr>
        <w:t>, “The Hammer: How Martin</w:t>
      </w:r>
      <w:r w:rsidR="006426BF" w:rsidRPr="00504B4B">
        <w:rPr>
          <w:sz w:val="20"/>
          <w:szCs w:val="20"/>
        </w:rPr>
        <w:t xml:space="preserve"> Luther Changed the W</w:t>
      </w:r>
      <w:r w:rsidR="007F2B20" w:rsidRPr="00504B4B">
        <w:rPr>
          <w:sz w:val="20"/>
          <w:szCs w:val="20"/>
        </w:rPr>
        <w:t xml:space="preserve">orld,” </w:t>
      </w:r>
      <w:r w:rsidR="007F2B20" w:rsidRPr="00504B4B">
        <w:rPr>
          <w:i/>
          <w:sz w:val="20"/>
          <w:szCs w:val="20"/>
        </w:rPr>
        <w:t xml:space="preserve">The New Yorker, </w:t>
      </w:r>
      <w:r w:rsidR="007F2B20" w:rsidRPr="00504B4B">
        <w:rPr>
          <w:sz w:val="20"/>
          <w:szCs w:val="20"/>
        </w:rPr>
        <w:t xml:space="preserve">October 30, 2017, pp. 67-73. </w:t>
      </w:r>
    </w:p>
  </w:footnote>
  <w:footnote w:id="2">
    <w:p w14:paraId="5DEE0C53" w14:textId="344F083D"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w:t>
      </w:r>
      <w:r w:rsidR="00267105" w:rsidRPr="00504B4B">
        <w:rPr>
          <w:sz w:val="20"/>
          <w:szCs w:val="20"/>
        </w:rPr>
        <w:t xml:space="preserve">Roland </w:t>
      </w:r>
      <w:r w:rsidR="00CC2756" w:rsidRPr="00504B4B">
        <w:rPr>
          <w:sz w:val="20"/>
          <w:szCs w:val="20"/>
        </w:rPr>
        <w:t xml:space="preserve">H. </w:t>
      </w:r>
      <w:proofErr w:type="spellStart"/>
      <w:r w:rsidR="00267105" w:rsidRPr="00504B4B">
        <w:rPr>
          <w:sz w:val="20"/>
          <w:szCs w:val="20"/>
        </w:rPr>
        <w:t>Bainton</w:t>
      </w:r>
      <w:proofErr w:type="spellEnd"/>
      <w:r w:rsidR="00267105" w:rsidRPr="00504B4B">
        <w:rPr>
          <w:sz w:val="20"/>
          <w:szCs w:val="20"/>
        </w:rPr>
        <w:t xml:space="preserve">, </w:t>
      </w:r>
      <w:r w:rsidRPr="00504B4B">
        <w:rPr>
          <w:i/>
          <w:sz w:val="20"/>
          <w:szCs w:val="20"/>
        </w:rPr>
        <w:t>Here I Stand</w:t>
      </w:r>
      <w:r w:rsidR="00CC2756" w:rsidRPr="00504B4B">
        <w:rPr>
          <w:i/>
          <w:sz w:val="20"/>
          <w:szCs w:val="20"/>
        </w:rPr>
        <w:t>: A Life of Martin Luther</w:t>
      </w:r>
      <w:r w:rsidRPr="00504B4B">
        <w:rPr>
          <w:i/>
          <w:sz w:val="20"/>
          <w:szCs w:val="20"/>
        </w:rPr>
        <w:t xml:space="preserve">, </w:t>
      </w:r>
      <w:r w:rsidRPr="00504B4B">
        <w:rPr>
          <w:sz w:val="20"/>
          <w:szCs w:val="20"/>
        </w:rPr>
        <w:t>pp. 24-25.</w:t>
      </w:r>
    </w:p>
  </w:footnote>
  <w:footnote w:id="3">
    <w:p w14:paraId="490D714B" w14:textId="77777777" w:rsidR="00AD45AB" w:rsidRPr="00504B4B" w:rsidRDefault="00AD45AB" w:rsidP="00AD45AB">
      <w:pPr>
        <w:pStyle w:val="FootnoteText"/>
        <w:rPr>
          <w:sz w:val="20"/>
          <w:szCs w:val="20"/>
        </w:rPr>
      </w:pPr>
      <w:r w:rsidRPr="00504B4B">
        <w:rPr>
          <w:rStyle w:val="FootnoteReference"/>
          <w:sz w:val="20"/>
          <w:szCs w:val="20"/>
        </w:rPr>
        <w:footnoteRef/>
      </w:r>
      <w:r w:rsidRPr="00504B4B">
        <w:rPr>
          <w:sz w:val="20"/>
          <w:szCs w:val="20"/>
        </w:rPr>
        <w:t xml:space="preserve"> </w:t>
      </w:r>
      <w:r w:rsidRPr="00504B4B">
        <w:rPr>
          <w:i/>
          <w:sz w:val="20"/>
          <w:szCs w:val="20"/>
        </w:rPr>
        <w:t xml:space="preserve">Here I Stand, </w:t>
      </w:r>
      <w:r w:rsidRPr="00504B4B">
        <w:rPr>
          <w:sz w:val="20"/>
          <w:szCs w:val="20"/>
        </w:rPr>
        <w:t>p. 51.</w:t>
      </w:r>
    </w:p>
  </w:footnote>
  <w:footnote w:id="4">
    <w:p w14:paraId="2441035F" w14:textId="43C781B2"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Quotations from </w:t>
      </w:r>
      <w:r w:rsidRPr="00504B4B">
        <w:rPr>
          <w:i/>
          <w:sz w:val="20"/>
          <w:szCs w:val="20"/>
        </w:rPr>
        <w:t xml:space="preserve">The Bondage of the Will, </w:t>
      </w:r>
      <w:r w:rsidRPr="00504B4B">
        <w:rPr>
          <w:sz w:val="20"/>
          <w:szCs w:val="20"/>
        </w:rPr>
        <w:t xml:space="preserve">in Jennifer L. Bayne and Sarah E. </w:t>
      </w:r>
      <w:proofErr w:type="spellStart"/>
      <w:r w:rsidRPr="00504B4B">
        <w:rPr>
          <w:sz w:val="20"/>
          <w:szCs w:val="20"/>
        </w:rPr>
        <w:t>Hinlicky</w:t>
      </w:r>
      <w:proofErr w:type="spellEnd"/>
      <w:r w:rsidRPr="00504B4B">
        <w:rPr>
          <w:sz w:val="20"/>
          <w:szCs w:val="20"/>
        </w:rPr>
        <w:t xml:space="preserve">, “Free to be Creatures Again,” </w:t>
      </w:r>
      <w:r w:rsidRPr="00504B4B">
        <w:rPr>
          <w:i/>
          <w:sz w:val="20"/>
          <w:szCs w:val="20"/>
        </w:rPr>
        <w:t xml:space="preserve">Christianity Today, </w:t>
      </w:r>
      <w:r w:rsidRPr="00504B4B">
        <w:rPr>
          <w:sz w:val="20"/>
          <w:szCs w:val="20"/>
        </w:rPr>
        <w:t>October 23, 2000, pp. 41, 42.</w:t>
      </w:r>
    </w:p>
  </w:footnote>
  <w:footnote w:id="5">
    <w:p w14:paraId="7610729C" w14:textId="3D8679AF"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w:t>
      </w:r>
      <w:r w:rsidRPr="00504B4B">
        <w:rPr>
          <w:i/>
          <w:sz w:val="20"/>
          <w:szCs w:val="20"/>
        </w:rPr>
        <w:t xml:space="preserve">Institutes of the Christian Religion, </w:t>
      </w:r>
      <w:r w:rsidRPr="00504B4B">
        <w:rPr>
          <w:sz w:val="20"/>
          <w:szCs w:val="20"/>
        </w:rPr>
        <w:t>trans. Henry Beveridge (</w:t>
      </w:r>
      <w:proofErr w:type="spellStart"/>
      <w:r w:rsidRPr="00504B4B">
        <w:rPr>
          <w:sz w:val="20"/>
          <w:szCs w:val="20"/>
        </w:rPr>
        <w:t>Eerdman’s</w:t>
      </w:r>
      <w:proofErr w:type="spellEnd"/>
      <w:r w:rsidRPr="00504B4B">
        <w:rPr>
          <w:sz w:val="20"/>
          <w:szCs w:val="20"/>
        </w:rPr>
        <w:t>, 1966), III.xxi.5.</w:t>
      </w:r>
    </w:p>
  </w:footnote>
  <w:footnote w:id="6">
    <w:p w14:paraId="550E9BE4" w14:textId="784EC9EB"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III.xxii.7</w:t>
      </w:r>
    </w:p>
  </w:footnote>
  <w:footnote w:id="7">
    <w:p w14:paraId="44BAAA70" w14:textId="7F918E11"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III.xxii.11.</w:t>
      </w:r>
    </w:p>
  </w:footnote>
  <w:footnote w:id="8">
    <w:p w14:paraId="6033F91C" w14:textId="56055C03"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iii.xxii.3.</w:t>
      </w:r>
    </w:p>
  </w:footnote>
  <w:footnote w:id="9">
    <w:p w14:paraId="0AF4210A" w14:textId="7EC661C6"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III.xxii.6.</w:t>
      </w:r>
    </w:p>
  </w:footnote>
  <w:footnote w:id="10">
    <w:p w14:paraId="5A57AC54" w14:textId="4DEDFA5D"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III.xxiv.6.</w:t>
      </w:r>
    </w:p>
  </w:footnote>
  <w:footnote w:id="11">
    <w:p w14:paraId="2CDA3852" w14:textId="571BAFC0"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III.xxiv.1.</w:t>
      </w:r>
    </w:p>
  </w:footnote>
  <w:footnote w:id="12">
    <w:p w14:paraId="08F87F44" w14:textId="597D922B"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III.xxii.10.</w:t>
      </w:r>
    </w:p>
  </w:footnote>
  <w:footnote w:id="13">
    <w:p w14:paraId="643DE8C6" w14:textId="77777777" w:rsidR="00F20975" w:rsidRPr="00504B4B" w:rsidRDefault="00F20975" w:rsidP="00F20975">
      <w:pPr>
        <w:pStyle w:val="FootnoteText"/>
        <w:rPr>
          <w:sz w:val="20"/>
          <w:szCs w:val="20"/>
        </w:rPr>
      </w:pPr>
      <w:r w:rsidRPr="00504B4B">
        <w:rPr>
          <w:rStyle w:val="FootnoteReference"/>
          <w:sz w:val="20"/>
          <w:szCs w:val="20"/>
        </w:rPr>
        <w:footnoteRef/>
      </w:r>
      <w:r w:rsidRPr="00504B4B">
        <w:rPr>
          <w:sz w:val="20"/>
          <w:szCs w:val="20"/>
        </w:rPr>
        <w:t xml:space="preserve"> III.xxiii.5.</w:t>
      </w:r>
    </w:p>
  </w:footnote>
  <w:footnote w:id="14">
    <w:p w14:paraId="7BB66DA8" w14:textId="5B4048E3" w:rsidR="00F20975" w:rsidRPr="00504B4B" w:rsidRDefault="00F20975">
      <w:pPr>
        <w:pStyle w:val="FootnoteText"/>
        <w:rPr>
          <w:sz w:val="20"/>
          <w:szCs w:val="20"/>
        </w:rPr>
      </w:pPr>
      <w:r w:rsidRPr="00504B4B">
        <w:rPr>
          <w:rStyle w:val="FootnoteReference"/>
          <w:sz w:val="20"/>
          <w:szCs w:val="20"/>
        </w:rPr>
        <w:footnoteRef/>
      </w:r>
      <w:r w:rsidRPr="00504B4B">
        <w:rPr>
          <w:sz w:val="20"/>
          <w:szCs w:val="20"/>
        </w:rPr>
        <w:t xml:space="preserve"> III.xxiii.2.</w:t>
      </w:r>
    </w:p>
  </w:footnote>
  <w:footnote w:id="15">
    <w:p w14:paraId="372F1556" w14:textId="6AFE366F" w:rsidR="00AD473B" w:rsidRPr="00504B4B" w:rsidRDefault="00AD473B" w:rsidP="00AD473B">
      <w:pPr>
        <w:pStyle w:val="FootnoteText"/>
        <w:rPr>
          <w:sz w:val="20"/>
          <w:szCs w:val="20"/>
        </w:rPr>
      </w:pPr>
      <w:r w:rsidRPr="00504B4B">
        <w:rPr>
          <w:rStyle w:val="FootnoteReference"/>
          <w:sz w:val="20"/>
          <w:szCs w:val="20"/>
        </w:rPr>
        <w:footnoteRef/>
      </w:r>
      <w:r w:rsidRPr="00504B4B">
        <w:rPr>
          <w:sz w:val="20"/>
          <w:szCs w:val="20"/>
        </w:rPr>
        <w:t xml:space="preserve"> </w:t>
      </w:r>
      <w:r w:rsidRPr="00504B4B">
        <w:rPr>
          <w:color w:val="000000" w:themeColor="text1"/>
          <w:sz w:val="20"/>
          <w:szCs w:val="20"/>
        </w:rPr>
        <w:t xml:space="preserve">Calvin introduces the topic with </w:t>
      </w:r>
      <w:r w:rsidRPr="00504B4B">
        <w:rPr>
          <w:color w:val="000000" w:themeColor="text1"/>
          <w:sz w:val="20"/>
          <w:szCs w:val="20"/>
        </w:rPr>
        <w:t>the</w:t>
      </w:r>
      <w:r w:rsidRPr="00504B4B">
        <w:rPr>
          <w:color w:val="000000" w:themeColor="text1"/>
          <w:sz w:val="20"/>
          <w:szCs w:val="20"/>
        </w:rPr>
        <w:t xml:space="preserve"> observation</w:t>
      </w:r>
      <w:r w:rsidRPr="00504B4B">
        <w:rPr>
          <w:color w:val="000000" w:themeColor="text1"/>
          <w:sz w:val="20"/>
          <w:szCs w:val="20"/>
        </w:rPr>
        <w:t xml:space="preserve"> that </w:t>
      </w:r>
      <w:r w:rsidRPr="00504B4B">
        <w:rPr>
          <w:color w:val="000000" w:themeColor="text1"/>
          <w:sz w:val="20"/>
          <w:szCs w:val="20"/>
        </w:rPr>
        <w:t>people respond to the proclamation of the gospel in different ways</w:t>
      </w:r>
      <w:r w:rsidRPr="00504B4B">
        <w:rPr>
          <w:color w:val="000000" w:themeColor="text1"/>
          <w:sz w:val="20"/>
          <w:szCs w:val="20"/>
        </w:rPr>
        <w:t xml:space="preserve"> </w:t>
      </w:r>
      <w:r w:rsidRPr="00504B4B">
        <w:rPr>
          <w:color w:val="000000" w:themeColor="text1"/>
          <w:sz w:val="20"/>
          <w:szCs w:val="20"/>
        </w:rPr>
        <w:t>and then offers predestination as an explanation for this divergence. “[</w:t>
      </w:r>
      <w:proofErr w:type="spellStart"/>
      <w:r w:rsidRPr="00504B4B">
        <w:rPr>
          <w:color w:val="000000" w:themeColor="text1"/>
          <w:sz w:val="20"/>
          <w:szCs w:val="20"/>
        </w:rPr>
        <w:t>T]he</w:t>
      </w:r>
      <w:proofErr w:type="spellEnd"/>
      <w:r w:rsidRPr="00504B4B">
        <w:rPr>
          <w:color w:val="000000" w:themeColor="text1"/>
          <w:sz w:val="20"/>
          <w:szCs w:val="20"/>
        </w:rPr>
        <w:t xml:space="preserve"> </w:t>
      </w:r>
      <w:proofErr w:type="gramStart"/>
      <w:r w:rsidRPr="00504B4B">
        <w:rPr>
          <w:color w:val="000000" w:themeColor="text1"/>
          <w:sz w:val="20"/>
          <w:szCs w:val="20"/>
        </w:rPr>
        <w:t>covenant</w:t>
      </w:r>
      <w:proofErr w:type="gramEnd"/>
      <w:r w:rsidRPr="00504B4B">
        <w:rPr>
          <w:color w:val="000000" w:themeColor="text1"/>
          <w:sz w:val="20"/>
          <w:szCs w:val="20"/>
        </w:rPr>
        <w:t xml:space="preserve"> of life is not preached equally to all, and among those to whom it is preached, does not always meet with the same reception” (</w:t>
      </w:r>
      <w:r w:rsidRPr="00504B4B">
        <w:rPr>
          <w:sz w:val="20"/>
          <w:szCs w:val="20"/>
        </w:rPr>
        <w:t>III.xxi.1).</w:t>
      </w:r>
    </w:p>
  </w:footnote>
  <w:footnote w:id="16">
    <w:p w14:paraId="422BC720" w14:textId="7AC47A4B" w:rsidR="001B3D70" w:rsidRPr="00504B4B" w:rsidRDefault="001B3D70">
      <w:pPr>
        <w:pStyle w:val="FootnoteText"/>
        <w:rPr>
          <w:sz w:val="20"/>
          <w:szCs w:val="20"/>
        </w:rPr>
      </w:pPr>
      <w:r w:rsidRPr="00504B4B">
        <w:rPr>
          <w:rStyle w:val="FootnoteReference"/>
          <w:sz w:val="20"/>
          <w:szCs w:val="20"/>
        </w:rPr>
        <w:footnoteRef/>
      </w:r>
      <w:r w:rsidRPr="00504B4B">
        <w:rPr>
          <w:sz w:val="20"/>
          <w:szCs w:val="20"/>
        </w:rPr>
        <w:t xml:space="preserve"> III.xxiv.9.</w:t>
      </w:r>
      <w:r w:rsidR="00AD473B" w:rsidRPr="00504B4B">
        <w:rPr>
          <w:sz w:val="20"/>
          <w:szCs w:val="20"/>
        </w:rPr>
        <w:t xml:space="preserve"> </w:t>
      </w:r>
      <w:r w:rsidR="00AD473B" w:rsidRPr="00504B4B">
        <w:rPr>
          <w:color w:val="000000" w:themeColor="text1"/>
          <w:sz w:val="20"/>
          <w:szCs w:val="20"/>
        </w:rPr>
        <w:t>A knowledge of election results in the assurance that “our salvation flows from the free mercy of God as its fountain.” And without it, “the very foundation of our safety” would be destroyed</w:t>
      </w:r>
      <w:r w:rsidR="00AD473B" w:rsidRPr="00504B4B">
        <w:rPr>
          <w:color w:val="000000" w:themeColor="text1"/>
          <w:sz w:val="20"/>
          <w:szCs w:val="20"/>
        </w:rPr>
        <w:t xml:space="preserve"> (</w:t>
      </w:r>
      <w:r w:rsidR="00AD473B" w:rsidRPr="00504B4B">
        <w:rPr>
          <w:sz w:val="20"/>
          <w:szCs w:val="20"/>
        </w:rPr>
        <w:t>II.xxi.1.</w:t>
      </w:r>
      <w:r w:rsidR="00AD473B" w:rsidRPr="00504B4B">
        <w:rPr>
          <w:sz w:val="20"/>
          <w:szCs w:val="20"/>
        </w:rPr>
        <w:t>).</w:t>
      </w:r>
    </w:p>
  </w:footnote>
  <w:footnote w:id="17">
    <w:p w14:paraId="6D2A6E43" w14:textId="77777777" w:rsidR="007D4ADC" w:rsidRPr="00504B4B" w:rsidRDefault="007D4ADC" w:rsidP="007D4ADC">
      <w:pPr>
        <w:pStyle w:val="FootnoteText"/>
        <w:rPr>
          <w:sz w:val="20"/>
          <w:szCs w:val="20"/>
        </w:rPr>
      </w:pPr>
      <w:r w:rsidRPr="00504B4B">
        <w:rPr>
          <w:rStyle w:val="FootnoteReference"/>
          <w:sz w:val="20"/>
          <w:szCs w:val="20"/>
        </w:rPr>
        <w:footnoteRef/>
      </w:r>
      <w:r w:rsidRPr="00504B4B">
        <w:rPr>
          <w:sz w:val="20"/>
          <w:szCs w:val="20"/>
        </w:rPr>
        <w:t xml:space="preserve"> III.xxiii.7.</w:t>
      </w:r>
    </w:p>
  </w:footnote>
  <w:footnote w:id="18">
    <w:p w14:paraId="59D0FF4F" w14:textId="548F1099" w:rsidR="00EF1534" w:rsidRPr="00504B4B" w:rsidRDefault="00EF1534">
      <w:pPr>
        <w:pStyle w:val="FootnoteText"/>
        <w:rPr>
          <w:sz w:val="20"/>
          <w:szCs w:val="20"/>
        </w:rPr>
      </w:pPr>
      <w:r w:rsidRPr="00504B4B">
        <w:rPr>
          <w:rStyle w:val="FootnoteReference"/>
          <w:sz w:val="20"/>
          <w:szCs w:val="20"/>
        </w:rPr>
        <w:footnoteRef/>
      </w:r>
      <w:r w:rsidRPr="00504B4B">
        <w:rPr>
          <w:sz w:val="20"/>
          <w:szCs w:val="20"/>
        </w:rPr>
        <w:t xml:space="preserve"> </w:t>
      </w:r>
      <w:r w:rsidRPr="00504B4B">
        <w:rPr>
          <w:color w:val="000000" w:themeColor="text1"/>
          <w:sz w:val="20"/>
          <w:szCs w:val="20"/>
        </w:rPr>
        <w:t>In fact, for both Luther and Calvin predestination is arguably a “believer’s doctrine”—a truth perceptible to those who are assured of their salvation, but not something that belongs to the public proclamation of the Gospel.</w:t>
      </w:r>
    </w:p>
  </w:footnote>
  <w:footnote w:id="19">
    <w:p w14:paraId="1E1FE925" w14:textId="37B4BF60" w:rsidR="005C5D08" w:rsidRPr="00504B4B" w:rsidRDefault="005C5D08">
      <w:pPr>
        <w:pStyle w:val="FootnoteText"/>
        <w:rPr>
          <w:sz w:val="20"/>
          <w:szCs w:val="20"/>
        </w:rPr>
      </w:pPr>
      <w:r w:rsidRPr="00504B4B">
        <w:rPr>
          <w:rStyle w:val="FootnoteReference"/>
          <w:sz w:val="20"/>
          <w:szCs w:val="20"/>
        </w:rPr>
        <w:footnoteRef/>
      </w:r>
      <w:r w:rsidRPr="00504B4B">
        <w:rPr>
          <w:sz w:val="20"/>
          <w:szCs w:val="20"/>
        </w:rPr>
        <w:t xml:space="preserve"> Jennifer L. Bayne and Sarah E. </w:t>
      </w:r>
      <w:proofErr w:type="spellStart"/>
      <w:r w:rsidRPr="00504B4B">
        <w:rPr>
          <w:sz w:val="20"/>
          <w:szCs w:val="20"/>
        </w:rPr>
        <w:t>Hinlicky</w:t>
      </w:r>
      <w:proofErr w:type="spellEnd"/>
      <w:r w:rsidRPr="00504B4B">
        <w:rPr>
          <w:sz w:val="20"/>
          <w:szCs w:val="20"/>
        </w:rPr>
        <w:t xml:space="preserve">, “Free to be Creatures Again,” </w:t>
      </w:r>
      <w:r w:rsidRPr="00504B4B">
        <w:rPr>
          <w:i/>
          <w:sz w:val="20"/>
          <w:szCs w:val="20"/>
        </w:rPr>
        <w:t xml:space="preserve">Christianity Today, </w:t>
      </w:r>
      <w:r w:rsidRPr="00504B4B">
        <w:rPr>
          <w:sz w:val="20"/>
          <w:szCs w:val="20"/>
        </w:rPr>
        <w:t>October 23, 2000, p. 44.</w:t>
      </w:r>
    </w:p>
  </w:footnote>
  <w:footnote w:id="20">
    <w:p w14:paraId="3297B917" w14:textId="3F22B783" w:rsidR="00CD3D9D" w:rsidRPr="00504B4B" w:rsidRDefault="00CD3D9D">
      <w:pPr>
        <w:pStyle w:val="FootnoteText"/>
        <w:rPr>
          <w:sz w:val="20"/>
          <w:szCs w:val="20"/>
        </w:rPr>
      </w:pPr>
      <w:r w:rsidRPr="00504B4B">
        <w:rPr>
          <w:rStyle w:val="FootnoteReference"/>
          <w:sz w:val="20"/>
          <w:szCs w:val="20"/>
        </w:rPr>
        <w:footnoteRef/>
      </w:r>
      <w:r w:rsidRPr="00504B4B">
        <w:rPr>
          <w:sz w:val="20"/>
          <w:szCs w:val="20"/>
        </w:rPr>
        <w:t xml:space="preserve"> III.xxiii.3.</w:t>
      </w:r>
    </w:p>
  </w:footnote>
  <w:footnote w:id="21">
    <w:p w14:paraId="5178CE09" w14:textId="77777777" w:rsidR="000E2F1C" w:rsidRPr="00504B4B" w:rsidRDefault="000E2F1C" w:rsidP="000E2F1C">
      <w:pPr>
        <w:pStyle w:val="FootnoteText"/>
        <w:rPr>
          <w:sz w:val="20"/>
          <w:szCs w:val="20"/>
        </w:rPr>
      </w:pPr>
      <w:r w:rsidRPr="00504B4B">
        <w:rPr>
          <w:rStyle w:val="FootnoteReference"/>
          <w:sz w:val="20"/>
          <w:szCs w:val="20"/>
        </w:rPr>
        <w:footnoteRef/>
      </w:r>
      <w:r w:rsidRPr="00504B4B">
        <w:rPr>
          <w:sz w:val="20"/>
          <w:szCs w:val="20"/>
        </w:rPr>
        <w:t xml:space="preserve"> III.xxiii.17.</w:t>
      </w:r>
    </w:p>
  </w:footnote>
  <w:footnote w:id="22">
    <w:p w14:paraId="22850D02" w14:textId="77777777" w:rsidR="000E2F1C" w:rsidRPr="00504B4B" w:rsidRDefault="000E2F1C" w:rsidP="000E2F1C">
      <w:pPr>
        <w:pStyle w:val="FootnoteText"/>
        <w:rPr>
          <w:sz w:val="20"/>
          <w:szCs w:val="20"/>
        </w:rPr>
      </w:pPr>
      <w:r w:rsidRPr="00504B4B">
        <w:rPr>
          <w:rStyle w:val="FootnoteReference"/>
          <w:sz w:val="20"/>
          <w:szCs w:val="20"/>
        </w:rPr>
        <w:footnoteRef/>
      </w:r>
      <w:r w:rsidRPr="00504B4B">
        <w:rPr>
          <w:sz w:val="20"/>
          <w:szCs w:val="20"/>
        </w:rPr>
        <w:t xml:space="preserve"> III.xxiii.9.</w:t>
      </w:r>
    </w:p>
  </w:footnote>
  <w:footnote w:id="23">
    <w:p w14:paraId="2BAEF3C2" w14:textId="3CD7B97E" w:rsidR="00CD3D9D" w:rsidRPr="00504B4B" w:rsidRDefault="00CD3D9D">
      <w:pPr>
        <w:pStyle w:val="FootnoteText"/>
        <w:rPr>
          <w:sz w:val="20"/>
          <w:szCs w:val="20"/>
        </w:rPr>
      </w:pPr>
      <w:r w:rsidRPr="00504B4B">
        <w:rPr>
          <w:rStyle w:val="FootnoteReference"/>
          <w:sz w:val="20"/>
          <w:szCs w:val="20"/>
        </w:rPr>
        <w:footnoteRef/>
      </w:r>
      <w:r w:rsidRPr="00504B4B">
        <w:rPr>
          <w:sz w:val="20"/>
          <w:szCs w:val="20"/>
        </w:rPr>
        <w:t xml:space="preserve"> III.xxiii.8.</w:t>
      </w:r>
    </w:p>
  </w:footnote>
  <w:footnote w:id="24">
    <w:p w14:paraId="57211869" w14:textId="140F1F4C" w:rsidR="001A705D" w:rsidRPr="00504B4B" w:rsidRDefault="001A705D">
      <w:pPr>
        <w:pStyle w:val="FootnoteText"/>
        <w:rPr>
          <w:sz w:val="20"/>
          <w:szCs w:val="20"/>
        </w:rPr>
      </w:pPr>
      <w:r w:rsidRPr="00504B4B">
        <w:rPr>
          <w:rStyle w:val="FootnoteReference"/>
          <w:sz w:val="20"/>
          <w:szCs w:val="20"/>
        </w:rPr>
        <w:footnoteRef/>
      </w:r>
      <w:r w:rsidRPr="00504B4B">
        <w:rPr>
          <w:sz w:val="20"/>
          <w:szCs w:val="20"/>
        </w:rPr>
        <w:t xml:space="preserve"> III.xxiii.11.</w:t>
      </w:r>
    </w:p>
  </w:footnote>
  <w:footnote w:id="25">
    <w:p w14:paraId="29F9F172" w14:textId="3D2AC6A8" w:rsidR="00D868F7" w:rsidRPr="00504B4B" w:rsidRDefault="00D868F7">
      <w:pPr>
        <w:pStyle w:val="FootnoteText"/>
        <w:rPr>
          <w:sz w:val="20"/>
          <w:szCs w:val="20"/>
        </w:rPr>
      </w:pPr>
      <w:r w:rsidRPr="00504B4B">
        <w:rPr>
          <w:rStyle w:val="FootnoteReference"/>
          <w:sz w:val="20"/>
          <w:szCs w:val="20"/>
        </w:rPr>
        <w:footnoteRef/>
      </w:r>
      <w:r w:rsidRPr="00504B4B">
        <w:rPr>
          <w:sz w:val="20"/>
          <w:szCs w:val="20"/>
        </w:rPr>
        <w:t xml:space="preserve"> https://www.britannica.com/biography/Jacobus-Arminius</w:t>
      </w:r>
    </w:p>
  </w:footnote>
  <w:footnote w:id="26">
    <w:p w14:paraId="0C0B2613" w14:textId="77777777" w:rsidR="007F3A44" w:rsidRPr="00504B4B" w:rsidRDefault="007F3A44" w:rsidP="007F3A44">
      <w:pPr>
        <w:pStyle w:val="FootnoteText"/>
        <w:rPr>
          <w:sz w:val="20"/>
          <w:szCs w:val="20"/>
        </w:rPr>
      </w:pPr>
      <w:r w:rsidRPr="00504B4B">
        <w:rPr>
          <w:rStyle w:val="FootnoteReference"/>
          <w:sz w:val="20"/>
          <w:szCs w:val="20"/>
        </w:rPr>
        <w:footnoteRef/>
      </w:r>
      <w:r w:rsidRPr="00504B4B">
        <w:rPr>
          <w:sz w:val="20"/>
          <w:szCs w:val="20"/>
        </w:rPr>
        <w:t xml:space="preserve"> https://en.wikipedia.org/wiki/Five_Articles_of_Remonstrance</w:t>
      </w:r>
    </w:p>
  </w:footnote>
  <w:footnote w:id="27">
    <w:p w14:paraId="4D166A59" w14:textId="78AA5A35" w:rsidR="0058634E" w:rsidRPr="00504B4B" w:rsidRDefault="0058634E">
      <w:pPr>
        <w:pStyle w:val="FootnoteText"/>
        <w:rPr>
          <w:sz w:val="20"/>
          <w:szCs w:val="20"/>
        </w:rPr>
      </w:pPr>
      <w:r w:rsidRPr="00504B4B">
        <w:rPr>
          <w:rStyle w:val="FootnoteReference"/>
          <w:sz w:val="20"/>
          <w:szCs w:val="20"/>
        </w:rPr>
        <w:footnoteRef/>
      </w:r>
      <w:r w:rsidR="00AD649D" w:rsidRPr="00504B4B">
        <w:rPr>
          <w:sz w:val="20"/>
          <w:szCs w:val="20"/>
        </w:rPr>
        <w:t xml:space="preserve"> </w:t>
      </w:r>
      <w:r w:rsidR="00AD649D" w:rsidRPr="00504B4B">
        <w:rPr>
          <w:i/>
          <w:sz w:val="20"/>
          <w:szCs w:val="20"/>
        </w:rPr>
        <w:t xml:space="preserve">Time, </w:t>
      </w:r>
      <w:r w:rsidRPr="00504B4B">
        <w:rPr>
          <w:sz w:val="20"/>
          <w:szCs w:val="20"/>
        </w:rPr>
        <w:t>March 23, 2009, p. 30.</w:t>
      </w:r>
    </w:p>
  </w:footnote>
  <w:footnote w:id="28">
    <w:p w14:paraId="423EB10C" w14:textId="77777777" w:rsidR="00C7131E" w:rsidRPr="00504B4B" w:rsidRDefault="00C7131E" w:rsidP="00C7131E">
      <w:pPr>
        <w:rPr>
          <w:sz w:val="20"/>
          <w:szCs w:val="20"/>
        </w:rPr>
      </w:pPr>
      <w:r w:rsidRPr="00504B4B">
        <w:rPr>
          <w:rStyle w:val="FootnoteReference"/>
          <w:sz w:val="20"/>
          <w:szCs w:val="20"/>
        </w:rPr>
        <w:footnoteRef/>
      </w:r>
      <w:r w:rsidRPr="00504B4B">
        <w:rPr>
          <w:sz w:val="20"/>
          <w:szCs w:val="20"/>
        </w:rPr>
        <w:t xml:space="preserve"> Henri </w:t>
      </w:r>
      <w:proofErr w:type="spellStart"/>
      <w:r w:rsidRPr="00504B4B">
        <w:rPr>
          <w:sz w:val="20"/>
          <w:szCs w:val="20"/>
        </w:rPr>
        <w:t>Blocher</w:t>
      </w:r>
      <w:proofErr w:type="spellEnd"/>
      <w:r w:rsidRPr="00504B4B">
        <w:rPr>
          <w:sz w:val="20"/>
          <w:szCs w:val="20"/>
        </w:rPr>
        <w:t xml:space="preserve">, </w:t>
      </w:r>
      <w:r w:rsidRPr="00504B4B">
        <w:rPr>
          <w:i/>
          <w:sz w:val="20"/>
          <w:szCs w:val="20"/>
        </w:rPr>
        <w:t xml:space="preserve">Evil and the Cross, </w:t>
      </w:r>
      <w:r w:rsidRPr="00504B4B">
        <w:rPr>
          <w:sz w:val="20"/>
          <w:szCs w:val="20"/>
        </w:rPr>
        <w:t>trans. David G. Preston (</w:t>
      </w:r>
      <w:proofErr w:type="spellStart"/>
      <w:r w:rsidRPr="00504B4B">
        <w:rPr>
          <w:sz w:val="20"/>
          <w:szCs w:val="20"/>
        </w:rPr>
        <w:t>InterVarsity</w:t>
      </w:r>
      <w:proofErr w:type="spellEnd"/>
      <w:r w:rsidRPr="00504B4B">
        <w:rPr>
          <w:sz w:val="20"/>
          <w:szCs w:val="20"/>
        </w:rPr>
        <w:t xml:space="preserve"> Press, 1994), 90-91. </w:t>
      </w:r>
      <w:proofErr w:type="spellStart"/>
      <w:r w:rsidRPr="00504B4B">
        <w:rPr>
          <w:sz w:val="20"/>
          <w:szCs w:val="20"/>
        </w:rPr>
        <w:t>Blocher</w:t>
      </w:r>
      <w:proofErr w:type="spellEnd"/>
      <w:r w:rsidRPr="00504B4B">
        <w:rPr>
          <w:sz w:val="20"/>
          <w:szCs w:val="20"/>
        </w:rPr>
        <w:t xml:space="preserve"> is a French theologian who taught for several years at Wheaton College,</w:t>
      </w:r>
    </w:p>
  </w:footnote>
  <w:footnote w:id="29">
    <w:p w14:paraId="5CB40026" w14:textId="325D3E29" w:rsidR="003C4D99" w:rsidRPr="00504B4B" w:rsidRDefault="003C4D99" w:rsidP="003C4D99">
      <w:pPr>
        <w:pStyle w:val="FootnoteText"/>
        <w:rPr>
          <w:sz w:val="20"/>
          <w:szCs w:val="20"/>
        </w:rPr>
      </w:pPr>
      <w:r w:rsidRPr="00504B4B">
        <w:rPr>
          <w:rStyle w:val="FootnoteReference"/>
          <w:sz w:val="20"/>
          <w:szCs w:val="20"/>
        </w:rPr>
        <w:footnoteRef/>
      </w:r>
      <w:r w:rsidRPr="00504B4B">
        <w:rPr>
          <w:sz w:val="20"/>
          <w:szCs w:val="20"/>
        </w:rPr>
        <w:t xml:space="preserve"> Erickson, </w:t>
      </w:r>
      <w:r w:rsidR="00BD6E0B" w:rsidRPr="00504B4B">
        <w:rPr>
          <w:i/>
          <w:sz w:val="20"/>
          <w:szCs w:val="20"/>
        </w:rPr>
        <w:t>Christian Theology</w:t>
      </w:r>
      <w:r w:rsidR="00C81A81" w:rsidRPr="00504B4B">
        <w:rPr>
          <w:i/>
          <w:sz w:val="20"/>
          <w:szCs w:val="20"/>
        </w:rPr>
        <w:t xml:space="preserve"> </w:t>
      </w:r>
      <w:r w:rsidR="00C81A81" w:rsidRPr="00504B4B">
        <w:rPr>
          <w:sz w:val="20"/>
          <w:szCs w:val="20"/>
        </w:rPr>
        <w:t xml:space="preserve">(Baker, 1983), </w:t>
      </w:r>
      <w:r w:rsidRPr="00504B4B">
        <w:rPr>
          <w:sz w:val="20"/>
          <w:szCs w:val="20"/>
        </w:rPr>
        <w:t>p. 361.</w:t>
      </w:r>
    </w:p>
  </w:footnote>
  <w:footnote w:id="30">
    <w:p w14:paraId="350E80A8" w14:textId="77777777" w:rsidR="00662EFA" w:rsidRPr="00504B4B" w:rsidRDefault="00662EFA" w:rsidP="00662EFA">
      <w:pPr>
        <w:pStyle w:val="FootnoteText"/>
        <w:rPr>
          <w:sz w:val="20"/>
          <w:szCs w:val="20"/>
        </w:rPr>
      </w:pPr>
      <w:r w:rsidRPr="00504B4B">
        <w:rPr>
          <w:rStyle w:val="FootnoteReference"/>
          <w:sz w:val="20"/>
          <w:szCs w:val="20"/>
        </w:rPr>
        <w:footnoteRef/>
      </w:r>
      <w:r w:rsidRPr="00504B4B">
        <w:rPr>
          <w:sz w:val="20"/>
          <w:szCs w:val="20"/>
        </w:rPr>
        <w:t xml:space="preserve"> A. Raymond Gorge, “Methodism,” in </w:t>
      </w:r>
      <w:r w:rsidRPr="00504B4B">
        <w:rPr>
          <w:i/>
          <w:sz w:val="20"/>
          <w:szCs w:val="20"/>
        </w:rPr>
        <w:t xml:space="preserve">A Dictionary of Christian Theology,” </w:t>
      </w:r>
      <w:r w:rsidRPr="00504B4B">
        <w:rPr>
          <w:sz w:val="20"/>
          <w:szCs w:val="20"/>
        </w:rPr>
        <w:t>ed. Alan Richardson (Westminster Press, 1969), p. 214.</w:t>
      </w:r>
    </w:p>
  </w:footnote>
  <w:footnote w:id="31">
    <w:p w14:paraId="017B575C" w14:textId="59C1ACCE" w:rsidR="00E52917" w:rsidRPr="00504B4B" w:rsidRDefault="00E52917" w:rsidP="00E52917">
      <w:pPr>
        <w:pStyle w:val="FootnoteText"/>
        <w:rPr>
          <w:sz w:val="20"/>
          <w:szCs w:val="20"/>
        </w:rPr>
      </w:pPr>
      <w:r w:rsidRPr="00504B4B">
        <w:rPr>
          <w:rStyle w:val="FootnoteReference"/>
          <w:sz w:val="20"/>
          <w:szCs w:val="20"/>
        </w:rPr>
        <w:footnoteRef/>
      </w:r>
      <w:r w:rsidRPr="00504B4B">
        <w:rPr>
          <w:sz w:val="20"/>
          <w:szCs w:val="20"/>
        </w:rPr>
        <w:t xml:space="preserve"> </w:t>
      </w:r>
      <w:r w:rsidR="00ED4A7E" w:rsidRPr="00504B4B">
        <w:rPr>
          <w:color w:val="000000" w:themeColor="text1"/>
          <w:sz w:val="20"/>
          <w:szCs w:val="20"/>
        </w:rPr>
        <w:t xml:space="preserve">“The Actuality of God: Karl Barth in Conversation with Open Theism,” </w:t>
      </w:r>
      <w:r w:rsidRPr="00504B4B">
        <w:rPr>
          <w:sz w:val="20"/>
          <w:szCs w:val="20"/>
        </w:rPr>
        <w:t xml:space="preserve">In </w:t>
      </w:r>
      <w:r w:rsidRPr="00504B4B">
        <w:rPr>
          <w:i/>
          <w:sz w:val="20"/>
          <w:szCs w:val="20"/>
        </w:rPr>
        <w:t xml:space="preserve">Engaging the Doctrine of God: Contemporary Protestant Perspectives. </w:t>
      </w:r>
      <w:r w:rsidRPr="00504B4B">
        <w:rPr>
          <w:sz w:val="20"/>
          <w:szCs w:val="20"/>
        </w:rPr>
        <w:t xml:space="preserve">Ed. Bruce L. McCormack (Baker Academic, 2008), pp. 202-203, </w:t>
      </w:r>
      <w:proofErr w:type="spellStart"/>
      <w:r w:rsidRPr="00504B4B">
        <w:rPr>
          <w:sz w:val="20"/>
          <w:szCs w:val="20"/>
        </w:rPr>
        <w:t>f.n</w:t>
      </w:r>
      <w:proofErr w:type="spellEnd"/>
      <w:r w:rsidRPr="00504B4B">
        <w:rPr>
          <w:sz w:val="20"/>
          <w:szCs w:val="20"/>
        </w:rPr>
        <w:t>. 35.</w:t>
      </w:r>
    </w:p>
  </w:footnote>
  <w:footnote w:id="32">
    <w:p w14:paraId="73D31892" w14:textId="77777777" w:rsidR="00E52917" w:rsidRPr="00504B4B" w:rsidRDefault="00E52917" w:rsidP="00E52917">
      <w:pPr>
        <w:pStyle w:val="FootnoteText"/>
        <w:rPr>
          <w:sz w:val="20"/>
          <w:szCs w:val="20"/>
        </w:rPr>
      </w:pPr>
      <w:r w:rsidRPr="00504B4B">
        <w:rPr>
          <w:rStyle w:val="FootnoteReference"/>
          <w:sz w:val="20"/>
          <w:szCs w:val="20"/>
        </w:rPr>
        <w:footnoteRef/>
      </w:r>
      <w:r w:rsidRPr="00504B4B">
        <w:rPr>
          <w:sz w:val="20"/>
          <w:szCs w:val="20"/>
        </w:rPr>
        <w:t xml:space="preserve"> “From Augustine to Arminius: A Pilgrimage in Theology,” in </w:t>
      </w:r>
      <w:r w:rsidRPr="00504B4B">
        <w:rPr>
          <w:i/>
          <w:sz w:val="20"/>
          <w:szCs w:val="20"/>
        </w:rPr>
        <w:t xml:space="preserve">The Grace of God, the Will of Man: A Case for Arminianism, </w:t>
      </w:r>
      <w:r w:rsidRPr="00504B4B">
        <w:rPr>
          <w:sz w:val="20"/>
          <w:szCs w:val="20"/>
        </w:rPr>
        <w:t>ed. Clark H. Pinnock (Zondervan Academic, 1989), pp. 15-29.</w:t>
      </w:r>
    </w:p>
  </w:footnote>
  <w:footnote w:id="33">
    <w:p w14:paraId="04C8F4A0" w14:textId="77777777" w:rsidR="00106E3D" w:rsidRPr="00504B4B" w:rsidRDefault="00106E3D" w:rsidP="00106E3D">
      <w:pPr>
        <w:pStyle w:val="FootnoteText"/>
        <w:rPr>
          <w:i/>
          <w:sz w:val="20"/>
          <w:szCs w:val="20"/>
        </w:rPr>
      </w:pPr>
      <w:r w:rsidRPr="00504B4B">
        <w:rPr>
          <w:rStyle w:val="FootnoteReference"/>
          <w:sz w:val="20"/>
          <w:szCs w:val="20"/>
        </w:rPr>
        <w:footnoteRef/>
      </w:r>
      <w:r w:rsidRPr="00504B4B">
        <w:rPr>
          <w:sz w:val="20"/>
          <w:szCs w:val="20"/>
        </w:rPr>
        <w:t xml:space="preserve"> </w:t>
      </w:r>
      <w:r w:rsidRPr="00504B4B">
        <w:rPr>
          <w:bCs/>
          <w:sz w:val="20"/>
          <w:szCs w:val="20"/>
        </w:rPr>
        <w:t>Like many free will theists, Arminius accepted God’s absolute foreknowledge, but he admitted that he did not have a good explanation for it. “The knowledge of God,” he states, “is eternal, immutable and infinite, and … extends to all things, both necessary and contingent…. But I do not understand the mode in which He knows future contingencies and especially those which belong to the free-will of creatures….” (</w:t>
      </w:r>
      <w:r w:rsidRPr="00504B4B">
        <w:rPr>
          <w:sz w:val="20"/>
          <w:szCs w:val="20"/>
        </w:rPr>
        <w:t xml:space="preserve">“A Discussion on the Subject of Predestination, Between James Arminius, D.D., Minister at Amsterdam, and Francis </w:t>
      </w:r>
      <w:proofErr w:type="spellStart"/>
      <w:r w:rsidRPr="00504B4B">
        <w:rPr>
          <w:sz w:val="20"/>
          <w:szCs w:val="20"/>
        </w:rPr>
        <w:t>Junius</w:t>
      </w:r>
      <w:proofErr w:type="spellEnd"/>
      <w:r w:rsidRPr="00504B4B">
        <w:rPr>
          <w:sz w:val="20"/>
          <w:szCs w:val="20"/>
        </w:rPr>
        <w:t xml:space="preserve">, D.D., Professor of Divinity at Leyden,” in </w:t>
      </w:r>
      <w:r w:rsidRPr="00504B4B">
        <w:rPr>
          <w:i/>
          <w:sz w:val="20"/>
          <w:szCs w:val="20"/>
        </w:rPr>
        <w:t xml:space="preserve">The Writings of James Arminius, </w:t>
      </w:r>
      <w:r w:rsidRPr="00504B4B">
        <w:rPr>
          <w:sz w:val="20"/>
          <w:szCs w:val="20"/>
        </w:rPr>
        <w:t xml:space="preserve">trans. James Nichols and W. R. </w:t>
      </w:r>
      <w:proofErr w:type="spellStart"/>
      <w:r w:rsidRPr="00504B4B">
        <w:rPr>
          <w:sz w:val="20"/>
          <w:szCs w:val="20"/>
        </w:rPr>
        <w:t>Bagnall</w:t>
      </w:r>
      <w:proofErr w:type="spellEnd"/>
      <w:r w:rsidRPr="00504B4B">
        <w:rPr>
          <w:sz w:val="20"/>
          <w:szCs w:val="20"/>
        </w:rPr>
        <w:t>, 3 vols. [Grand Rapids: Baker, 1956], 3:66).</w:t>
      </w:r>
    </w:p>
  </w:footnote>
  <w:footnote w:id="34">
    <w:p w14:paraId="1352F194" w14:textId="611336B6" w:rsidR="00AD6F53" w:rsidRPr="00504B4B" w:rsidRDefault="00AD6F53">
      <w:pPr>
        <w:pStyle w:val="FootnoteText"/>
        <w:rPr>
          <w:sz w:val="20"/>
          <w:szCs w:val="20"/>
        </w:rPr>
      </w:pPr>
      <w:r w:rsidRPr="00504B4B">
        <w:rPr>
          <w:rStyle w:val="FootnoteReference"/>
          <w:sz w:val="20"/>
          <w:szCs w:val="20"/>
        </w:rPr>
        <w:footnoteRef/>
      </w:r>
      <w:r w:rsidRPr="00504B4B">
        <w:rPr>
          <w:sz w:val="20"/>
          <w:szCs w:val="20"/>
        </w:rPr>
        <w:t xml:space="preserve"> </w:t>
      </w:r>
      <w:r w:rsidRPr="00504B4B">
        <w:rPr>
          <w:color w:val="000000" w:themeColor="text1"/>
          <w:sz w:val="20"/>
          <w:szCs w:val="20"/>
        </w:rPr>
        <w:t xml:space="preserve">One </w:t>
      </w:r>
      <w:r w:rsidRPr="00504B4B">
        <w:rPr>
          <w:color w:val="000000" w:themeColor="text1"/>
          <w:sz w:val="20"/>
          <w:szCs w:val="20"/>
        </w:rPr>
        <w:t>might</w:t>
      </w:r>
      <w:r w:rsidRPr="00504B4B">
        <w:rPr>
          <w:color w:val="000000" w:themeColor="text1"/>
          <w:sz w:val="20"/>
          <w:szCs w:val="20"/>
        </w:rPr>
        <w:t xml:space="preserve"> describe open theism as a quest for “consistent Arminianism,” a view of God’s relation to the creaturely world as one that grants the openness that genuine love and its corollary, viz. genuine creaturely freedom, require.</w:t>
      </w:r>
    </w:p>
  </w:footnote>
  <w:footnote w:id="35">
    <w:p w14:paraId="38729B02" w14:textId="59A7B7EC" w:rsidR="00504B4B" w:rsidRPr="00504B4B" w:rsidRDefault="00504B4B">
      <w:pPr>
        <w:pStyle w:val="FootnoteText"/>
        <w:rPr>
          <w:sz w:val="20"/>
          <w:szCs w:val="20"/>
        </w:rPr>
      </w:pPr>
      <w:r w:rsidRPr="00504B4B">
        <w:rPr>
          <w:rStyle w:val="FootnoteReference"/>
          <w:sz w:val="20"/>
          <w:szCs w:val="20"/>
        </w:rPr>
        <w:footnoteRef/>
      </w:r>
      <w:r w:rsidRPr="00504B4B">
        <w:rPr>
          <w:color w:val="000000" w:themeColor="text1"/>
          <w:sz w:val="20"/>
          <w:szCs w:val="20"/>
        </w:rPr>
        <w:t xml:space="preserve"> A variety of surveys, both religious and secular, rank Luther</w:t>
      </w:r>
      <w:r w:rsidRPr="00504B4B">
        <w:rPr>
          <w:color w:val="000000" w:themeColor="text1"/>
          <w:sz w:val="20"/>
          <w:szCs w:val="20"/>
        </w:rPr>
        <w:t xml:space="preserve"> </w:t>
      </w:r>
      <w:r w:rsidRPr="00504B4B">
        <w:rPr>
          <w:color w:val="000000" w:themeColor="text1"/>
          <w:sz w:val="20"/>
          <w:szCs w:val="20"/>
        </w:rPr>
        <w:t xml:space="preserve">as </w:t>
      </w:r>
      <w:r w:rsidRPr="00504B4B">
        <w:rPr>
          <w:color w:val="000000" w:themeColor="text1"/>
          <w:sz w:val="20"/>
          <w:szCs w:val="20"/>
        </w:rPr>
        <w:t xml:space="preserve">the most influential person of the </w:t>
      </w:r>
      <w:r w:rsidRPr="00504B4B">
        <w:rPr>
          <w:color w:val="000000" w:themeColor="text1"/>
          <w:sz w:val="20"/>
          <w:szCs w:val="20"/>
        </w:rPr>
        <w:t xml:space="preserve">past </w:t>
      </w:r>
      <w:r w:rsidRPr="00504B4B">
        <w:rPr>
          <w:color w:val="000000" w:themeColor="text1"/>
          <w:sz w:val="20"/>
          <w:szCs w:val="20"/>
        </w:rPr>
        <w:t>millennium.</w:t>
      </w:r>
    </w:p>
  </w:footnote>
  <w:footnote w:id="36">
    <w:p w14:paraId="038FCFE7" w14:textId="77777777" w:rsidR="009C45CF" w:rsidRPr="00504B4B" w:rsidRDefault="009C45CF" w:rsidP="009C45CF">
      <w:pPr>
        <w:pStyle w:val="FootnoteText"/>
        <w:rPr>
          <w:sz w:val="20"/>
          <w:szCs w:val="20"/>
        </w:rPr>
      </w:pPr>
      <w:r w:rsidRPr="00504B4B">
        <w:rPr>
          <w:rStyle w:val="FootnoteReference"/>
          <w:sz w:val="20"/>
          <w:szCs w:val="20"/>
        </w:rPr>
        <w:footnoteRef/>
      </w:r>
      <w:r w:rsidRPr="00504B4B">
        <w:rPr>
          <w:sz w:val="20"/>
          <w:szCs w:val="20"/>
        </w:rPr>
        <w:t xml:space="preserve"> </w:t>
      </w:r>
      <w:r w:rsidRPr="00504B4B">
        <w:rPr>
          <w:i/>
          <w:sz w:val="20"/>
          <w:szCs w:val="20"/>
        </w:rPr>
        <w:t xml:space="preserve">Church </w:t>
      </w:r>
      <w:proofErr w:type="spellStart"/>
      <w:r w:rsidRPr="00504B4B">
        <w:rPr>
          <w:i/>
          <w:sz w:val="20"/>
          <w:szCs w:val="20"/>
        </w:rPr>
        <w:t>Dogmatics</w:t>
      </w:r>
      <w:proofErr w:type="spellEnd"/>
      <w:r w:rsidRPr="00504B4B">
        <w:rPr>
          <w:i/>
          <w:sz w:val="20"/>
          <w:szCs w:val="20"/>
        </w:rPr>
        <w:t xml:space="preserve">, </w:t>
      </w:r>
      <w:r w:rsidRPr="00504B4B">
        <w:rPr>
          <w:sz w:val="20"/>
          <w:szCs w:val="20"/>
        </w:rPr>
        <w:t>3:191.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63732" w14:textId="77777777" w:rsidR="00F20975" w:rsidRDefault="00F20975" w:rsidP="00F2097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65558B" w14:textId="77777777" w:rsidR="00F20975" w:rsidRDefault="00F20975" w:rsidP="005638E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EE1F8" w14:textId="77777777" w:rsidR="00F20975" w:rsidRPr="00D06FE3" w:rsidRDefault="00F20975" w:rsidP="00F20975">
    <w:pPr>
      <w:pStyle w:val="Header"/>
      <w:framePr w:wrap="none" w:vAnchor="text" w:hAnchor="margin" w:xAlign="right" w:y="1"/>
      <w:rPr>
        <w:rStyle w:val="PageNumber"/>
        <w:b/>
        <w:sz w:val="20"/>
        <w:szCs w:val="20"/>
      </w:rPr>
    </w:pPr>
    <w:r w:rsidRPr="00D06FE3">
      <w:rPr>
        <w:rStyle w:val="PageNumber"/>
        <w:b/>
        <w:sz w:val="20"/>
        <w:szCs w:val="20"/>
      </w:rPr>
      <w:fldChar w:fldCharType="begin"/>
    </w:r>
    <w:r w:rsidRPr="00D06FE3">
      <w:rPr>
        <w:rStyle w:val="PageNumber"/>
        <w:b/>
        <w:sz w:val="20"/>
        <w:szCs w:val="20"/>
      </w:rPr>
      <w:instrText xml:space="preserve">PAGE  </w:instrText>
    </w:r>
    <w:r w:rsidRPr="00D06FE3">
      <w:rPr>
        <w:rStyle w:val="PageNumber"/>
        <w:b/>
        <w:sz w:val="20"/>
        <w:szCs w:val="20"/>
      </w:rPr>
      <w:fldChar w:fldCharType="separate"/>
    </w:r>
    <w:r w:rsidR="00D06FE3">
      <w:rPr>
        <w:rStyle w:val="PageNumber"/>
        <w:b/>
        <w:noProof/>
        <w:sz w:val="20"/>
        <w:szCs w:val="20"/>
      </w:rPr>
      <w:t>1</w:t>
    </w:r>
    <w:r w:rsidRPr="00D06FE3">
      <w:rPr>
        <w:rStyle w:val="PageNumber"/>
        <w:b/>
        <w:sz w:val="20"/>
        <w:szCs w:val="20"/>
      </w:rPr>
      <w:fldChar w:fldCharType="end"/>
    </w:r>
  </w:p>
  <w:p w14:paraId="7645B599" w14:textId="2EACE693" w:rsidR="00F20975" w:rsidRPr="00D06FE3" w:rsidRDefault="00D06FE3" w:rsidP="005638E3">
    <w:pPr>
      <w:pStyle w:val="Header"/>
      <w:ind w:right="360"/>
      <w:rPr>
        <w:b/>
        <w:sz w:val="20"/>
        <w:szCs w:val="20"/>
      </w:rPr>
    </w:pPr>
    <w:r w:rsidRPr="00D06FE3">
      <w:rPr>
        <w:b/>
        <w:sz w:val="20"/>
        <w:szCs w:val="20"/>
      </w:rPr>
      <w:t>Assurance &amp; Its Aftermath</w:t>
    </w:r>
    <w:r w:rsidR="00F20975" w:rsidRPr="00D06FE3">
      <w:rPr>
        <w:b/>
        <w:sz w:val="20"/>
        <w:szCs w:val="20"/>
      </w:rPr>
      <w:tab/>
    </w:r>
  </w:p>
  <w:p w14:paraId="7B085B20" w14:textId="77777777" w:rsidR="00F20975" w:rsidRDefault="00F20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8FE"/>
    <w:rsid w:val="00003DDA"/>
    <w:rsid w:val="000062FC"/>
    <w:rsid w:val="000075AC"/>
    <w:rsid w:val="00011E6D"/>
    <w:rsid w:val="00013240"/>
    <w:rsid w:val="00013E05"/>
    <w:rsid w:val="00021902"/>
    <w:rsid w:val="000306FF"/>
    <w:rsid w:val="00030F66"/>
    <w:rsid w:val="000347CB"/>
    <w:rsid w:val="00040809"/>
    <w:rsid w:val="0005477D"/>
    <w:rsid w:val="00056D77"/>
    <w:rsid w:val="00065FB8"/>
    <w:rsid w:val="0007336E"/>
    <w:rsid w:val="0007628B"/>
    <w:rsid w:val="0008399A"/>
    <w:rsid w:val="000913EC"/>
    <w:rsid w:val="000A3D51"/>
    <w:rsid w:val="000A7D45"/>
    <w:rsid w:val="000D5C09"/>
    <w:rsid w:val="000D6B52"/>
    <w:rsid w:val="000D6FDC"/>
    <w:rsid w:val="000E20D7"/>
    <w:rsid w:val="000E2F1C"/>
    <w:rsid w:val="000E5991"/>
    <w:rsid w:val="000F22B3"/>
    <w:rsid w:val="000F4357"/>
    <w:rsid w:val="000F7C81"/>
    <w:rsid w:val="00100B85"/>
    <w:rsid w:val="00100D5E"/>
    <w:rsid w:val="001039D8"/>
    <w:rsid w:val="00106E3D"/>
    <w:rsid w:val="00117409"/>
    <w:rsid w:val="00121FEA"/>
    <w:rsid w:val="0013212E"/>
    <w:rsid w:val="0013275C"/>
    <w:rsid w:val="00133780"/>
    <w:rsid w:val="0013426D"/>
    <w:rsid w:val="001360B2"/>
    <w:rsid w:val="001414F4"/>
    <w:rsid w:val="001441D5"/>
    <w:rsid w:val="00146747"/>
    <w:rsid w:val="001552D2"/>
    <w:rsid w:val="00156642"/>
    <w:rsid w:val="00164A94"/>
    <w:rsid w:val="001842C0"/>
    <w:rsid w:val="001844F6"/>
    <w:rsid w:val="00187CD9"/>
    <w:rsid w:val="001A16A5"/>
    <w:rsid w:val="001A705D"/>
    <w:rsid w:val="001B3D70"/>
    <w:rsid w:val="001B6FF7"/>
    <w:rsid w:val="001C2507"/>
    <w:rsid w:val="001E2ACB"/>
    <w:rsid w:val="001E62D9"/>
    <w:rsid w:val="001F00DF"/>
    <w:rsid w:val="00202AFF"/>
    <w:rsid w:val="00215DEE"/>
    <w:rsid w:val="002171EE"/>
    <w:rsid w:val="00221BFB"/>
    <w:rsid w:val="00231270"/>
    <w:rsid w:val="00231583"/>
    <w:rsid w:val="0023215C"/>
    <w:rsid w:val="00232705"/>
    <w:rsid w:val="00232846"/>
    <w:rsid w:val="00240734"/>
    <w:rsid w:val="00252AEE"/>
    <w:rsid w:val="002539C6"/>
    <w:rsid w:val="0025484F"/>
    <w:rsid w:val="0025567E"/>
    <w:rsid w:val="0026575F"/>
    <w:rsid w:val="00267105"/>
    <w:rsid w:val="0027160A"/>
    <w:rsid w:val="00276A14"/>
    <w:rsid w:val="002778FE"/>
    <w:rsid w:val="002839E3"/>
    <w:rsid w:val="00284469"/>
    <w:rsid w:val="00287A61"/>
    <w:rsid w:val="0029014E"/>
    <w:rsid w:val="00292D1A"/>
    <w:rsid w:val="002A1B4F"/>
    <w:rsid w:val="002A1FDB"/>
    <w:rsid w:val="002B44B9"/>
    <w:rsid w:val="002C6654"/>
    <w:rsid w:val="002C7D0B"/>
    <w:rsid w:val="002E2C4F"/>
    <w:rsid w:val="002E521E"/>
    <w:rsid w:val="002E6B66"/>
    <w:rsid w:val="002F5C26"/>
    <w:rsid w:val="00301CE1"/>
    <w:rsid w:val="00302A89"/>
    <w:rsid w:val="00304BFA"/>
    <w:rsid w:val="00304C9D"/>
    <w:rsid w:val="00310C51"/>
    <w:rsid w:val="00312DC3"/>
    <w:rsid w:val="00322E33"/>
    <w:rsid w:val="00325C39"/>
    <w:rsid w:val="00343DD3"/>
    <w:rsid w:val="00344CCD"/>
    <w:rsid w:val="00350B83"/>
    <w:rsid w:val="00351389"/>
    <w:rsid w:val="00353C7F"/>
    <w:rsid w:val="0035485C"/>
    <w:rsid w:val="00362780"/>
    <w:rsid w:val="0037433D"/>
    <w:rsid w:val="00376AE7"/>
    <w:rsid w:val="00376E88"/>
    <w:rsid w:val="00377011"/>
    <w:rsid w:val="0038283E"/>
    <w:rsid w:val="00386747"/>
    <w:rsid w:val="00394491"/>
    <w:rsid w:val="00396835"/>
    <w:rsid w:val="003A046A"/>
    <w:rsid w:val="003A070A"/>
    <w:rsid w:val="003A2549"/>
    <w:rsid w:val="003A440F"/>
    <w:rsid w:val="003C4D99"/>
    <w:rsid w:val="003D1CB2"/>
    <w:rsid w:val="003D40C5"/>
    <w:rsid w:val="003D6080"/>
    <w:rsid w:val="003D7FD6"/>
    <w:rsid w:val="003F13CF"/>
    <w:rsid w:val="003F1AD7"/>
    <w:rsid w:val="003F5836"/>
    <w:rsid w:val="0040396D"/>
    <w:rsid w:val="004079A4"/>
    <w:rsid w:val="00407D8A"/>
    <w:rsid w:val="0041059F"/>
    <w:rsid w:val="00415A9C"/>
    <w:rsid w:val="0041653F"/>
    <w:rsid w:val="00416DBD"/>
    <w:rsid w:val="004170B7"/>
    <w:rsid w:val="00423EDE"/>
    <w:rsid w:val="00432115"/>
    <w:rsid w:val="00432949"/>
    <w:rsid w:val="004355DB"/>
    <w:rsid w:val="004472DE"/>
    <w:rsid w:val="00447CB1"/>
    <w:rsid w:val="00461BDE"/>
    <w:rsid w:val="004660E5"/>
    <w:rsid w:val="00473802"/>
    <w:rsid w:val="00473E75"/>
    <w:rsid w:val="004815F5"/>
    <w:rsid w:val="00490339"/>
    <w:rsid w:val="00491E6E"/>
    <w:rsid w:val="00496906"/>
    <w:rsid w:val="0049738E"/>
    <w:rsid w:val="004A4999"/>
    <w:rsid w:val="004B3C68"/>
    <w:rsid w:val="004C1037"/>
    <w:rsid w:val="004C11A5"/>
    <w:rsid w:val="004C5789"/>
    <w:rsid w:val="004C5E71"/>
    <w:rsid w:val="004C6183"/>
    <w:rsid w:val="004C6384"/>
    <w:rsid w:val="004C666D"/>
    <w:rsid w:val="004D0B72"/>
    <w:rsid w:val="004D0EBA"/>
    <w:rsid w:val="004D1FD6"/>
    <w:rsid w:val="004E12FD"/>
    <w:rsid w:val="004E2EE6"/>
    <w:rsid w:val="004E58B5"/>
    <w:rsid w:val="004E72DA"/>
    <w:rsid w:val="004F0C6F"/>
    <w:rsid w:val="004F789E"/>
    <w:rsid w:val="005004E4"/>
    <w:rsid w:val="00504B4B"/>
    <w:rsid w:val="005152A8"/>
    <w:rsid w:val="0051650C"/>
    <w:rsid w:val="00522249"/>
    <w:rsid w:val="005227FA"/>
    <w:rsid w:val="005248A2"/>
    <w:rsid w:val="0053088F"/>
    <w:rsid w:val="005330C4"/>
    <w:rsid w:val="005343C1"/>
    <w:rsid w:val="00537DB0"/>
    <w:rsid w:val="00540306"/>
    <w:rsid w:val="00544937"/>
    <w:rsid w:val="0054534F"/>
    <w:rsid w:val="00547355"/>
    <w:rsid w:val="00555B9B"/>
    <w:rsid w:val="005638E3"/>
    <w:rsid w:val="005671DD"/>
    <w:rsid w:val="005718FF"/>
    <w:rsid w:val="005827B6"/>
    <w:rsid w:val="00585319"/>
    <w:rsid w:val="0058634E"/>
    <w:rsid w:val="00594D9E"/>
    <w:rsid w:val="005A7376"/>
    <w:rsid w:val="005B3662"/>
    <w:rsid w:val="005B3C9D"/>
    <w:rsid w:val="005C5D08"/>
    <w:rsid w:val="005C5E8C"/>
    <w:rsid w:val="005C68BE"/>
    <w:rsid w:val="005C7F17"/>
    <w:rsid w:val="005D3B84"/>
    <w:rsid w:val="005D77A3"/>
    <w:rsid w:val="005E1EDE"/>
    <w:rsid w:val="005E6641"/>
    <w:rsid w:val="005F2E98"/>
    <w:rsid w:val="005F71EC"/>
    <w:rsid w:val="00601FFE"/>
    <w:rsid w:val="00616DBA"/>
    <w:rsid w:val="00627B2C"/>
    <w:rsid w:val="00633385"/>
    <w:rsid w:val="00634EDD"/>
    <w:rsid w:val="00635190"/>
    <w:rsid w:val="00641044"/>
    <w:rsid w:val="006420D3"/>
    <w:rsid w:val="0064267A"/>
    <w:rsid w:val="006426BF"/>
    <w:rsid w:val="0064647A"/>
    <w:rsid w:val="00646C4E"/>
    <w:rsid w:val="00651335"/>
    <w:rsid w:val="00656528"/>
    <w:rsid w:val="00660301"/>
    <w:rsid w:val="00660E7B"/>
    <w:rsid w:val="00662EFA"/>
    <w:rsid w:val="0066472D"/>
    <w:rsid w:val="00666C70"/>
    <w:rsid w:val="00683640"/>
    <w:rsid w:val="00683C4C"/>
    <w:rsid w:val="00695AC7"/>
    <w:rsid w:val="00697F94"/>
    <w:rsid w:val="006A19A0"/>
    <w:rsid w:val="006B3A35"/>
    <w:rsid w:val="006B56AF"/>
    <w:rsid w:val="006E2F69"/>
    <w:rsid w:val="006E375E"/>
    <w:rsid w:val="006F0FA0"/>
    <w:rsid w:val="006F78C2"/>
    <w:rsid w:val="0070262C"/>
    <w:rsid w:val="00705F97"/>
    <w:rsid w:val="007134D9"/>
    <w:rsid w:val="007151BA"/>
    <w:rsid w:val="00737A19"/>
    <w:rsid w:val="00743D6E"/>
    <w:rsid w:val="007450B2"/>
    <w:rsid w:val="00745FD7"/>
    <w:rsid w:val="00776D04"/>
    <w:rsid w:val="00784716"/>
    <w:rsid w:val="00797A42"/>
    <w:rsid w:val="007A34B6"/>
    <w:rsid w:val="007B0662"/>
    <w:rsid w:val="007B4C69"/>
    <w:rsid w:val="007C2432"/>
    <w:rsid w:val="007C4344"/>
    <w:rsid w:val="007C6A53"/>
    <w:rsid w:val="007C6EA9"/>
    <w:rsid w:val="007C7B05"/>
    <w:rsid w:val="007D248B"/>
    <w:rsid w:val="007D4AA9"/>
    <w:rsid w:val="007D4ADC"/>
    <w:rsid w:val="007E3CDE"/>
    <w:rsid w:val="007E3E03"/>
    <w:rsid w:val="007E7967"/>
    <w:rsid w:val="007F0D82"/>
    <w:rsid w:val="007F1566"/>
    <w:rsid w:val="007F2B20"/>
    <w:rsid w:val="007F3A44"/>
    <w:rsid w:val="007F6DE9"/>
    <w:rsid w:val="008044F0"/>
    <w:rsid w:val="00805685"/>
    <w:rsid w:val="0081042D"/>
    <w:rsid w:val="008109EE"/>
    <w:rsid w:val="00812BB4"/>
    <w:rsid w:val="00814457"/>
    <w:rsid w:val="00820A33"/>
    <w:rsid w:val="00823334"/>
    <w:rsid w:val="00826662"/>
    <w:rsid w:val="008319F9"/>
    <w:rsid w:val="00841CE9"/>
    <w:rsid w:val="00842C5C"/>
    <w:rsid w:val="00843B85"/>
    <w:rsid w:val="00844245"/>
    <w:rsid w:val="00845F8F"/>
    <w:rsid w:val="00846B9D"/>
    <w:rsid w:val="00847860"/>
    <w:rsid w:val="0085471A"/>
    <w:rsid w:val="00856759"/>
    <w:rsid w:val="0086145C"/>
    <w:rsid w:val="00865320"/>
    <w:rsid w:val="00870EA2"/>
    <w:rsid w:val="008723AC"/>
    <w:rsid w:val="00884198"/>
    <w:rsid w:val="00886186"/>
    <w:rsid w:val="00892BE1"/>
    <w:rsid w:val="00896F1C"/>
    <w:rsid w:val="008A49B8"/>
    <w:rsid w:val="008A643B"/>
    <w:rsid w:val="008C544D"/>
    <w:rsid w:val="008C581E"/>
    <w:rsid w:val="008D0AAB"/>
    <w:rsid w:val="008E0309"/>
    <w:rsid w:val="008E3200"/>
    <w:rsid w:val="008E5FD4"/>
    <w:rsid w:val="008E6204"/>
    <w:rsid w:val="008F1371"/>
    <w:rsid w:val="008F1910"/>
    <w:rsid w:val="00901867"/>
    <w:rsid w:val="00905EC5"/>
    <w:rsid w:val="00936190"/>
    <w:rsid w:val="009446A9"/>
    <w:rsid w:val="00946B04"/>
    <w:rsid w:val="0095099F"/>
    <w:rsid w:val="00950B43"/>
    <w:rsid w:val="00950EE4"/>
    <w:rsid w:val="00973B0D"/>
    <w:rsid w:val="009814EE"/>
    <w:rsid w:val="0099312D"/>
    <w:rsid w:val="009A0D94"/>
    <w:rsid w:val="009A2AEF"/>
    <w:rsid w:val="009B06CF"/>
    <w:rsid w:val="009B41A5"/>
    <w:rsid w:val="009B5F4E"/>
    <w:rsid w:val="009B6C2F"/>
    <w:rsid w:val="009B7C7C"/>
    <w:rsid w:val="009C45CF"/>
    <w:rsid w:val="009C4638"/>
    <w:rsid w:val="009C7ECF"/>
    <w:rsid w:val="009D0F02"/>
    <w:rsid w:val="009D0FE3"/>
    <w:rsid w:val="009D3235"/>
    <w:rsid w:val="009D737C"/>
    <w:rsid w:val="009E1BB1"/>
    <w:rsid w:val="009E39B2"/>
    <w:rsid w:val="009F1A8A"/>
    <w:rsid w:val="009F5339"/>
    <w:rsid w:val="00A00D83"/>
    <w:rsid w:val="00A07AEA"/>
    <w:rsid w:val="00A1373B"/>
    <w:rsid w:val="00A15A58"/>
    <w:rsid w:val="00A26338"/>
    <w:rsid w:val="00A32140"/>
    <w:rsid w:val="00A37E9B"/>
    <w:rsid w:val="00A63612"/>
    <w:rsid w:val="00A66039"/>
    <w:rsid w:val="00A7080A"/>
    <w:rsid w:val="00A71688"/>
    <w:rsid w:val="00A816F8"/>
    <w:rsid w:val="00A823F0"/>
    <w:rsid w:val="00A8439B"/>
    <w:rsid w:val="00A87E66"/>
    <w:rsid w:val="00A95D3B"/>
    <w:rsid w:val="00AA3FE3"/>
    <w:rsid w:val="00AB2BE4"/>
    <w:rsid w:val="00AC069A"/>
    <w:rsid w:val="00AC10EC"/>
    <w:rsid w:val="00AC5DC7"/>
    <w:rsid w:val="00AD1F38"/>
    <w:rsid w:val="00AD45AB"/>
    <w:rsid w:val="00AD473B"/>
    <w:rsid w:val="00AD649D"/>
    <w:rsid w:val="00AD6F53"/>
    <w:rsid w:val="00AD7AB5"/>
    <w:rsid w:val="00AF46BB"/>
    <w:rsid w:val="00B05B23"/>
    <w:rsid w:val="00B07619"/>
    <w:rsid w:val="00B15B64"/>
    <w:rsid w:val="00B15BE5"/>
    <w:rsid w:val="00B1679D"/>
    <w:rsid w:val="00B17420"/>
    <w:rsid w:val="00B25158"/>
    <w:rsid w:val="00B272DF"/>
    <w:rsid w:val="00B30D1E"/>
    <w:rsid w:val="00B32ADE"/>
    <w:rsid w:val="00B450A3"/>
    <w:rsid w:val="00B45F7B"/>
    <w:rsid w:val="00B52198"/>
    <w:rsid w:val="00B5360F"/>
    <w:rsid w:val="00B5508B"/>
    <w:rsid w:val="00B550B8"/>
    <w:rsid w:val="00B551F3"/>
    <w:rsid w:val="00B6361F"/>
    <w:rsid w:val="00B84418"/>
    <w:rsid w:val="00B847DC"/>
    <w:rsid w:val="00B8605D"/>
    <w:rsid w:val="00B86898"/>
    <w:rsid w:val="00B901FE"/>
    <w:rsid w:val="00B9185C"/>
    <w:rsid w:val="00B92D3B"/>
    <w:rsid w:val="00BA26C5"/>
    <w:rsid w:val="00BA7CCB"/>
    <w:rsid w:val="00BB344C"/>
    <w:rsid w:val="00BB5BB2"/>
    <w:rsid w:val="00BC21C0"/>
    <w:rsid w:val="00BC52B1"/>
    <w:rsid w:val="00BC62E8"/>
    <w:rsid w:val="00BD0754"/>
    <w:rsid w:val="00BD6E0B"/>
    <w:rsid w:val="00C0246F"/>
    <w:rsid w:val="00C04B2B"/>
    <w:rsid w:val="00C05488"/>
    <w:rsid w:val="00C0666D"/>
    <w:rsid w:val="00C07670"/>
    <w:rsid w:val="00C1182D"/>
    <w:rsid w:val="00C17D99"/>
    <w:rsid w:val="00C26FF3"/>
    <w:rsid w:val="00C40609"/>
    <w:rsid w:val="00C42978"/>
    <w:rsid w:val="00C43E48"/>
    <w:rsid w:val="00C56589"/>
    <w:rsid w:val="00C6155D"/>
    <w:rsid w:val="00C627A4"/>
    <w:rsid w:val="00C6511E"/>
    <w:rsid w:val="00C7131E"/>
    <w:rsid w:val="00C80DB3"/>
    <w:rsid w:val="00C815C4"/>
    <w:rsid w:val="00C81A81"/>
    <w:rsid w:val="00C86E3D"/>
    <w:rsid w:val="00C9503A"/>
    <w:rsid w:val="00C96268"/>
    <w:rsid w:val="00C97DDA"/>
    <w:rsid w:val="00CA34EE"/>
    <w:rsid w:val="00CA5C66"/>
    <w:rsid w:val="00CB3475"/>
    <w:rsid w:val="00CB45C3"/>
    <w:rsid w:val="00CC1955"/>
    <w:rsid w:val="00CC2756"/>
    <w:rsid w:val="00CC373E"/>
    <w:rsid w:val="00CC566C"/>
    <w:rsid w:val="00CD3D9D"/>
    <w:rsid w:val="00CD53AE"/>
    <w:rsid w:val="00CE0089"/>
    <w:rsid w:val="00CF70F8"/>
    <w:rsid w:val="00CF7592"/>
    <w:rsid w:val="00CF7C12"/>
    <w:rsid w:val="00D0292C"/>
    <w:rsid w:val="00D05E33"/>
    <w:rsid w:val="00D06FE3"/>
    <w:rsid w:val="00D11E67"/>
    <w:rsid w:val="00D12C24"/>
    <w:rsid w:val="00D17CD2"/>
    <w:rsid w:val="00D201DD"/>
    <w:rsid w:val="00D255E0"/>
    <w:rsid w:val="00D40ECD"/>
    <w:rsid w:val="00D447FF"/>
    <w:rsid w:val="00D55D4C"/>
    <w:rsid w:val="00D633E6"/>
    <w:rsid w:val="00D65A6C"/>
    <w:rsid w:val="00D6796F"/>
    <w:rsid w:val="00D67FB9"/>
    <w:rsid w:val="00D70DD9"/>
    <w:rsid w:val="00D758B4"/>
    <w:rsid w:val="00D82396"/>
    <w:rsid w:val="00D868F7"/>
    <w:rsid w:val="00D87D01"/>
    <w:rsid w:val="00DA1AC5"/>
    <w:rsid w:val="00DA2258"/>
    <w:rsid w:val="00DA2712"/>
    <w:rsid w:val="00DA5BFD"/>
    <w:rsid w:val="00DB35C1"/>
    <w:rsid w:val="00DB6712"/>
    <w:rsid w:val="00DC185E"/>
    <w:rsid w:val="00DC1FD3"/>
    <w:rsid w:val="00DC470D"/>
    <w:rsid w:val="00DC67A0"/>
    <w:rsid w:val="00DF01F1"/>
    <w:rsid w:val="00DF3732"/>
    <w:rsid w:val="00DF7723"/>
    <w:rsid w:val="00E20C00"/>
    <w:rsid w:val="00E214CF"/>
    <w:rsid w:val="00E21E60"/>
    <w:rsid w:val="00E21F0B"/>
    <w:rsid w:val="00E245BA"/>
    <w:rsid w:val="00E27E6A"/>
    <w:rsid w:val="00E37D13"/>
    <w:rsid w:val="00E405A1"/>
    <w:rsid w:val="00E41687"/>
    <w:rsid w:val="00E52648"/>
    <w:rsid w:val="00E52917"/>
    <w:rsid w:val="00E555E8"/>
    <w:rsid w:val="00E65530"/>
    <w:rsid w:val="00E73E00"/>
    <w:rsid w:val="00E759DB"/>
    <w:rsid w:val="00E773D2"/>
    <w:rsid w:val="00E77665"/>
    <w:rsid w:val="00E86F21"/>
    <w:rsid w:val="00E900A1"/>
    <w:rsid w:val="00E94E47"/>
    <w:rsid w:val="00E97229"/>
    <w:rsid w:val="00E97EC6"/>
    <w:rsid w:val="00EB11BD"/>
    <w:rsid w:val="00EB14DA"/>
    <w:rsid w:val="00EB6B8D"/>
    <w:rsid w:val="00EC2AA5"/>
    <w:rsid w:val="00EC773E"/>
    <w:rsid w:val="00ED3797"/>
    <w:rsid w:val="00ED4A7E"/>
    <w:rsid w:val="00ED629C"/>
    <w:rsid w:val="00EE199E"/>
    <w:rsid w:val="00EE3896"/>
    <w:rsid w:val="00EE5A42"/>
    <w:rsid w:val="00EE6AA6"/>
    <w:rsid w:val="00EF1534"/>
    <w:rsid w:val="00F20975"/>
    <w:rsid w:val="00F22257"/>
    <w:rsid w:val="00F224DA"/>
    <w:rsid w:val="00F2282F"/>
    <w:rsid w:val="00F23152"/>
    <w:rsid w:val="00F249C0"/>
    <w:rsid w:val="00F25E69"/>
    <w:rsid w:val="00F34B5E"/>
    <w:rsid w:val="00F37954"/>
    <w:rsid w:val="00F46BED"/>
    <w:rsid w:val="00F50183"/>
    <w:rsid w:val="00F505E9"/>
    <w:rsid w:val="00F610B2"/>
    <w:rsid w:val="00F6275D"/>
    <w:rsid w:val="00F71A76"/>
    <w:rsid w:val="00F72766"/>
    <w:rsid w:val="00F765FE"/>
    <w:rsid w:val="00F8442B"/>
    <w:rsid w:val="00F91224"/>
    <w:rsid w:val="00F924F4"/>
    <w:rsid w:val="00F9401A"/>
    <w:rsid w:val="00F941E2"/>
    <w:rsid w:val="00FA1A74"/>
    <w:rsid w:val="00FA241B"/>
    <w:rsid w:val="00FA3326"/>
    <w:rsid w:val="00FA3E8A"/>
    <w:rsid w:val="00FB073A"/>
    <w:rsid w:val="00FB403F"/>
    <w:rsid w:val="00FC546B"/>
    <w:rsid w:val="00FD247F"/>
    <w:rsid w:val="00FD3A4D"/>
    <w:rsid w:val="00FD4A13"/>
    <w:rsid w:val="00FE1A78"/>
    <w:rsid w:val="00FF1C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D3C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D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D9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3D9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65FE"/>
  </w:style>
  <w:style w:type="character" w:customStyle="1" w:styleId="FootnoteTextChar">
    <w:name w:val="Footnote Text Char"/>
    <w:basedOn w:val="DefaultParagraphFont"/>
    <w:link w:val="FootnoteText"/>
    <w:uiPriority w:val="99"/>
    <w:rsid w:val="00F765FE"/>
  </w:style>
  <w:style w:type="character" w:styleId="FootnoteReference">
    <w:name w:val="footnote reference"/>
    <w:basedOn w:val="DefaultParagraphFont"/>
    <w:uiPriority w:val="99"/>
    <w:unhideWhenUsed/>
    <w:rsid w:val="00F765FE"/>
    <w:rPr>
      <w:vertAlign w:val="superscript"/>
    </w:rPr>
  </w:style>
  <w:style w:type="table" w:styleId="TableGrid">
    <w:name w:val="Table Grid"/>
    <w:basedOn w:val="TableNormal"/>
    <w:uiPriority w:val="39"/>
    <w:rsid w:val="003D1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638E3"/>
    <w:pPr>
      <w:tabs>
        <w:tab w:val="center" w:pos="4680"/>
        <w:tab w:val="right" w:pos="9360"/>
      </w:tabs>
    </w:pPr>
  </w:style>
  <w:style w:type="character" w:customStyle="1" w:styleId="HeaderChar">
    <w:name w:val="Header Char"/>
    <w:basedOn w:val="DefaultParagraphFont"/>
    <w:link w:val="Header"/>
    <w:uiPriority w:val="99"/>
    <w:rsid w:val="005638E3"/>
  </w:style>
  <w:style w:type="paragraph" w:styleId="Footer">
    <w:name w:val="footer"/>
    <w:basedOn w:val="Normal"/>
    <w:link w:val="FooterChar"/>
    <w:uiPriority w:val="99"/>
    <w:unhideWhenUsed/>
    <w:rsid w:val="005638E3"/>
    <w:pPr>
      <w:tabs>
        <w:tab w:val="center" w:pos="4680"/>
        <w:tab w:val="right" w:pos="9360"/>
      </w:tabs>
    </w:pPr>
  </w:style>
  <w:style w:type="character" w:customStyle="1" w:styleId="FooterChar">
    <w:name w:val="Footer Char"/>
    <w:basedOn w:val="DefaultParagraphFont"/>
    <w:link w:val="Footer"/>
    <w:uiPriority w:val="99"/>
    <w:rsid w:val="005638E3"/>
  </w:style>
  <w:style w:type="character" w:styleId="PageNumber">
    <w:name w:val="page number"/>
    <w:basedOn w:val="DefaultParagraphFont"/>
    <w:uiPriority w:val="99"/>
    <w:semiHidden/>
    <w:unhideWhenUsed/>
    <w:rsid w:val="005638E3"/>
  </w:style>
  <w:style w:type="character" w:customStyle="1" w:styleId="Heading2Char">
    <w:name w:val="Heading 2 Char"/>
    <w:basedOn w:val="DefaultParagraphFont"/>
    <w:link w:val="Heading2"/>
    <w:uiPriority w:val="9"/>
    <w:rsid w:val="00CD3D9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3D9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CD3D9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F6275D"/>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F6275D"/>
  </w:style>
  <w:style w:type="character" w:styleId="Hyperlink">
    <w:name w:val="Hyperlink"/>
    <w:basedOn w:val="DefaultParagraphFont"/>
    <w:uiPriority w:val="99"/>
    <w:semiHidden/>
    <w:unhideWhenUsed/>
    <w:rsid w:val="00F6275D"/>
    <w:rPr>
      <w:color w:val="0000FF"/>
      <w:u w:val="single"/>
    </w:rPr>
  </w:style>
  <w:style w:type="character" w:customStyle="1" w:styleId="mw-headline">
    <w:name w:val="mw-headline"/>
    <w:basedOn w:val="DefaultParagraphFont"/>
    <w:rsid w:val="00F6275D"/>
  </w:style>
  <w:style w:type="character" w:customStyle="1" w:styleId="mw-editsection">
    <w:name w:val="mw-editsection"/>
    <w:basedOn w:val="DefaultParagraphFont"/>
    <w:rsid w:val="00F6275D"/>
  </w:style>
  <w:style w:type="character" w:customStyle="1" w:styleId="mw-editsection-bracket">
    <w:name w:val="mw-editsection-bracket"/>
    <w:basedOn w:val="DefaultParagraphFont"/>
    <w:rsid w:val="00F6275D"/>
  </w:style>
  <w:style w:type="paragraph" w:styleId="DocumentMap">
    <w:name w:val="Document Map"/>
    <w:basedOn w:val="Normal"/>
    <w:link w:val="DocumentMapChar"/>
    <w:uiPriority w:val="99"/>
    <w:semiHidden/>
    <w:unhideWhenUsed/>
    <w:rsid w:val="005C68BE"/>
    <w:rPr>
      <w:rFonts w:ascii="Times New Roman" w:hAnsi="Times New Roman" w:cs="Times New Roman"/>
    </w:rPr>
  </w:style>
  <w:style w:type="character" w:customStyle="1" w:styleId="DocumentMapChar">
    <w:name w:val="Document Map Char"/>
    <w:basedOn w:val="DefaultParagraphFont"/>
    <w:link w:val="DocumentMap"/>
    <w:uiPriority w:val="99"/>
    <w:semiHidden/>
    <w:rsid w:val="005C68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49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en.wikipedia.org/wiki/Free_will_in_theology"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en.wikipedia.org/wiki/Prevenient_grace" TargetMode="External"/><Relationship Id="rId11" Type="http://schemas.openxmlformats.org/officeDocument/2006/relationships/hyperlink" Target="https://en.wikipedia.org/wiki/Divine_grace" TargetMode="External"/><Relationship Id="rId12" Type="http://schemas.openxmlformats.org/officeDocument/2006/relationships/hyperlink" Target="https://en.wikipedia.org/wiki/Conditional_preservation_of_the_saints" TargetMode="External"/><Relationship Id="rId13" Type="http://schemas.openxmlformats.org/officeDocument/2006/relationships/hyperlink" Target="https://en.wikipedia.org/wiki/Total_depravity" TargetMode="External"/><Relationship Id="rId14" Type="http://schemas.openxmlformats.org/officeDocument/2006/relationships/hyperlink" Target="https://en.wikipedia.org/wiki/Unconditional_election" TargetMode="External"/><Relationship Id="rId15" Type="http://schemas.openxmlformats.org/officeDocument/2006/relationships/hyperlink" Target="https://en.wikipedia.org/wiki/Limited_atonement" TargetMode="External"/><Relationship Id="rId16" Type="http://schemas.openxmlformats.org/officeDocument/2006/relationships/hyperlink" Target="https://en.wikipedia.org/wiki/Irresistible_grace" TargetMode="External"/><Relationship Id="rId17" Type="http://schemas.openxmlformats.org/officeDocument/2006/relationships/hyperlink" Target="https://en.wikipedia.org/wiki/Perseverance_of_the_saints"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Conditional_election" TargetMode="External"/><Relationship Id="rId8" Type="http://schemas.openxmlformats.org/officeDocument/2006/relationships/hyperlink" Target="https://en.wikipedia.org/wiki/Total_depra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6CB5AF-5CDF-B842-A2FB-65587F33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3516</Words>
  <Characters>20045</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2017-11-06T21:03:00Z</cp:lastPrinted>
  <dcterms:created xsi:type="dcterms:W3CDTF">2017-11-06T21:08:00Z</dcterms:created>
  <dcterms:modified xsi:type="dcterms:W3CDTF">2017-11-06T21:10:00Z</dcterms:modified>
</cp:coreProperties>
</file>